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CD1C3" w14:textId="77777777" w:rsidR="00D053D0" w:rsidRPr="0080052C" w:rsidRDefault="00D053D0" w:rsidP="00D053D0">
      <w:pPr>
        <w:rPr>
          <w:rFonts w:ascii="Humnst777 BT" w:hAnsi="Humnst777 BT"/>
          <w:sz w:val="20"/>
          <w:szCs w:val="20"/>
        </w:rPr>
      </w:pPr>
    </w:p>
    <w:tbl>
      <w:tblPr>
        <w:tblpPr w:leftFromText="180" w:rightFromText="180" w:vertAnchor="text" w:horzAnchor="page" w:tblpX="6603" w:tblpY="181"/>
        <w:tblW w:w="0" w:type="auto"/>
        <w:tblLayout w:type="fixed"/>
        <w:tblLook w:val="04A0" w:firstRow="1" w:lastRow="0" w:firstColumn="1" w:lastColumn="0" w:noHBand="0" w:noVBand="1"/>
      </w:tblPr>
      <w:tblGrid>
        <w:gridCol w:w="244"/>
        <w:gridCol w:w="2274"/>
        <w:gridCol w:w="851"/>
        <w:gridCol w:w="708"/>
      </w:tblGrid>
      <w:tr w:rsidR="00D053D0" w:rsidRPr="0080052C" w14:paraId="2E58589E" w14:textId="77777777" w:rsidTr="003470D5">
        <w:trPr>
          <w:gridBefore w:val="1"/>
          <w:wBefore w:w="244" w:type="dxa"/>
          <w:trHeight w:val="551"/>
        </w:trPr>
        <w:tc>
          <w:tcPr>
            <w:tcW w:w="3125" w:type="dxa"/>
            <w:gridSpan w:val="2"/>
            <w:shd w:val="clear" w:color="auto" w:fill="auto"/>
          </w:tcPr>
          <w:p w14:paraId="47F82465" w14:textId="77777777" w:rsidR="00D053D0" w:rsidRPr="005B1566" w:rsidRDefault="00D053D0" w:rsidP="003470D5">
            <w:pPr>
              <w:spacing w:line="360" w:lineRule="auto"/>
              <w:ind w:firstLine="749"/>
              <w:rPr>
                <w:rFonts w:ascii="Humnst777 BT" w:hAnsi="Humnst777 BT"/>
                <w:iCs/>
                <w:sz w:val="16"/>
                <w:szCs w:val="20"/>
                <w:lang w:bidi="en-US"/>
              </w:rPr>
            </w:pPr>
            <w:r w:rsidRPr="005B1566">
              <w:rPr>
                <w:rFonts w:ascii="Humnst777 BT" w:hAnsi="Humnst777 BT"/>
                <w:iCs/>
                <w:sz w:val="16"/>
                <w:szCs w:val="20"/>
                <w:lang w:bidi="en-US"/>
              </w:rPr>
              <w:t>CEDR Accreditation:</w:t>
            </w:r>
          </w:p>
          <w:p w14:paraId="15990897" w14:textId="77777777" w:rsidR="00D053D0" w:rsidRPr="005B1566" w:rsidRDefault="00D053D0" w:rsidP="003470D5">
            <w:pPr>
              <w:spacing w:line="360" w:lineRule="auto"/>
              <w:ind w:firstLine="749"/>
              <w:rPr>
                <w:rFonts w:ascii="Humnst777 BT" w:hAnsi="Humnst777 BT"/>
                <w:iCs/>
                <w:sz w:val="16"/>
                <w:szCs w:val="20"/>
                <w:lang w:bidi="en-US"/>
              </w:rPr>
            </w:pPr>
            <w:r w:rsidRPr="005B1566">
              <w:rPr>
                <w:rFonts w:ascii="Humnst777 BT" w:hAnsi="Humnst777 BT"/>
                <w:iCs/>
                <w:sz w:val="16"/>
                <w:szCs w:val="20"/>
                <w:lang w:bidi="en-US"/>
              </w:rPr>
              <w:t>CEDR Panel Admission:</w:t>
            </w:r>
          </w:p>
          <w:p w14:paraId="2AEB50CA" w14:textId="77777777" w:rsidR="00D053D0" w:rsidRPr="005B1566" w:rsidRDefault="00D053D0" w:rsidP="003470D5">
            <w:pPr>
              <w:spacing w:line="360" w:lineRule="auto"/>
              <w:jc w:val="right"/>
              <w:rPr>
                <w:rFonts w:ascii="Humnst777 BT" w:hAnsi="Humnst777 BT"/>
                <w:iCs/>
                <w:sz w:val="16"/>
                <w:szCs w:val="20"/>
                <w:lang w:bidi="en-US"/>
              </w:rPr>
            </w:pPr>
          </w:p>
        </w:tc>
        <w:tc>
          <w:tcPr>
            <w:tcW w:w="708" w:type="dxa"/>
            <w:shd w:val="clear" w:color="auto" w:fill="auto"/>
          </w:tcPr>
          <w:p w14:paraId="2087173F" w14:textId="77777777" w:rsidR="00D053D0" w:rsidRPr="005B1566" w:rsidRDefault="00D053D0" w:rsidP="003470D5">
            <w:pPr>
              <w:spacing w:line="360" w:lineRule="auto"/>
              <w:ind w:right="34"/>
              <w:jc w:val="right"/>
              <w:rPr>
                <w:rFonts w:ascii="Humnst777 BT" w:hAnsi="Humnst777 BT"/>
                <w:iCs/>
                <w:sz w:val="16"/>
                <w:szCs w:val="20"/>
                <w:lang w:bidi="en-US"/>
              </w:rPr>
            </w:pPr>
            <w:r w:rsidRPr="005B1566">
              <w:rPr>
                <w:rFonts w:ascii="Humnst777 BT" w:hAnsi="Humnst777 BT"/>
                <w:iCs/>
                <w:sz w:val="16"/>
                <w:szCs w:val="20"/>
                <w:lang w:bidi="en-US"/>
              </w:rPr>
              <w:t>2001</w:t>
            </w:r>
          </w:p>
          <w:p w14:paraId="799398C3" w14:textId="77777777" w:rsidR="00D053D0" w:rsidRPr="005B1566" w:rsidRDefault="00D053D0" w:rsidP="003470D5">
            <w:pPr>
              <w:spacing w:line="360" w:lineRule="auto"/>
              <w:ind w:right="34"/>
              <w:jc w:val="right"/>
              <w:rPr>
                <w:rFonts w:ascii="Humnst777 BT" w:hAnsi="Humnst777 BT"/>
                <w:iCs/>
                <w:sz w:val="16"/>
                <w:szCs w:val="20"/>
                <w:lang w:bidi="en-US"/>
              </w:rPr>
            </w:pPr>
            <w:r w:rsidRPr="005B1566">
              <w:rPr>
                <w:rFonts w:ascii="Humnst777 BT" w:hAnsi="Humnst777 BT"/>
                <w:iCs/>
                <w:sz w:val="16"/>
                <w:szCs w:val="20"/>
                <w:lang w:bidi="en-US"/>
              </w:rPr>
              <w:t>2013</w:t>
            </w:r>
          </w:p>
        </w:tc>
      </w:tr>
      <w:tr w:rsidR="00D053D0" w:rsidRPr="0080052C" w14:paraId="579B91DC" w14:textId="77777777" w:rsidTr="003470D5">
        <w:trPr>
          <w:trHeight w:val="413"/>
        </w:trPr>
        <w:tc>
          <w:tcPr>
            <w:tcW w:w="2518" w:type="dxa"/>
            <w:gridSpan w:val="2"/>
            <w:shd w:val="clear" w:color="auto" w:fill="auto"/>
          </w:tcPr>
          <w:p w14:paraId="0E4C6EE8" w14:textId="77777777" w:rsidR="00D053D0" w:rsidRPr="005B1566" w:rsidRDefault="00D053D0" w:rsidP="003470D5">
            <w:pPr>
              <w:spacing w:line="360" w:lineRule="auto"/>
              <w:jc w:val="right"/>
              <w:rPr>
                <w:rFonts w:ascii="Humnst777 BT" w:hAnsi="Humnst777 BT"/>
                <w:iCs/>
                <w:sz w:val="16"/>
                <w:szCs w:val="20"/>
                <w:lang w:bidi="en-US"/>
              </w:rPr>
            </w:pPr>
          </w:p>
          <w:p w14:paraId="25477507" w14:textId="77777777" w:rsidR="00D053D0" w:rsidRPr="005B1566" w:rsidRDefault="00D053D0" w:rsidP="003470D5">
            <w:pPr>
              <w:spacing w:line="360" w:lineRule="auto"/>
              <w:ind w:firstLine="993"/>
              <w:rPr>
                <w:rFonts w:ascii="Humnst777 BT" w:hAnsi="Humnst777 BT"/>
                <w:iCs/>
                <w:sz w:val="16"/>
                <w:szCs w:val="20"/>
                <w:lang w:bidi="en-US"/>
              </w:rPr>
            </w:pPr>
            <w:r w:rsidRPr="005B1566">
              <w:rPr>
                <w:rFonts w:ascii="Humnst777 BT" w:hAnsi="Humnst777 BT"/>
                <w:iCs/>
                <w:sz w:val="16"/>
                <w:szCs w:val="20"/>
                <w:lang w:bidi="en-US"/>
              </w:rPr>
              <w:t>Languages:</w:t>
            </w:r>
          </w:p>
          <w:p w14:paraId="4161509B" w14:textId="77777777" w:rsidR="00D053D0" w:rsidRPr="005B1566" w:rsidRDefault="00D053D0" w:rsidP="003470D5">
            <w:pPr>
              <w:spacing w:line="360" w:lineRule="auto"/>
              <w:ind w:firstLine="993"/>
              <w:rPr>
                <w:rFonts w:ascii="Humnst777 BT" w:hAnsi="Humnst777 BT"/>
                <w:iCs/>
                <w:sz w:val="16"/>
                <w:szCs w:val="20"/>
                <w:lang w:bidi="en-US"/>
              </w:rPr>
            </w:pPr>
          </w:p>
          <w:p w14:paraId="4D5E1397" w14:textId="77777777" w:rsidR="00D053D0" w:rsidRPr="005B1566" w:rsidRDefault="00D053D0" w:rsidP="003470D5">
            <w:pPr>
              <w:spacing w:line="360" w:lineRule="auto"/>
              <w:ind w:firstLine="993"/>
              <w:rPr>
                <w:rFonts w:ascii="Humnst777 BT" w:hAnsi="Humnst777 BT"/>
                <w:iCs/>
                <w:sz w:val="16"/>
                <w:szCs w:val="20"/>
                <w:lang w:bidi="en-US"/>
              </w:rPr>
            </w:pPr>
            <w:r w:rsidRPr="005B1566">
              <w:rPr>
                <w:rFonts w:ascii="Humnst777 BT" w:hAnsi="Humnst777 BT"/>
                <w:iCs/>
                <w:sz w:val="16"/>
                <w:szCs w:val="20"/>
                <w:lang w:bidi="en-US"/>
              </w:rPr>
              <w:t xml:space="preserve">Location: </w:t>
            </w:r>
          </w:p>
        </w:tc>
        <w:tc>
          <w:tcPr>
            <w:tcW w:w="1559" w:type="dxa"/>
            <w:gridSpan w:val="2"/>
            <w:shd w:val="clear" w:color="auto" w:fill="auto"/>
          </w:tcPr>
          <w:p w14:paraId="2D22540F" w14:textId="77777777" w:rsidR="00D053D0" w:rsidRPr="005B1566" w:rsidRDefault="00D053D0" w:rsidP="003470D5">
            <w:pPr>
              <w:spacing w:line="360" w:lineRule="auto"/>
              <w:ind w:right="34"/>
              <w:jc w:val="right"/>
              <w:rPr>
                <w:rFonts w:ascii="Humnst777 BT" w:hAnsi="Humnst777 BT"/>
                <w:iCs/>
                <w:sz w:val="16"/>
                <w:szCs w:val="20"/>
                <w:lang w:bidi="en-US"/>
              </w:rPr>
            </w:pPr>
          </w:p>
          <w:p w14:paraId="18FF92E0" w14:textId="77777777" w:rsidR="00D053D0" w:rsidRPr="005B1566" w:rsidRDefault="00D053D0" w:rsidP="003470D5">
            <w:pPr>
              <w:spacing w:line="360" w:lineRule="auto"/>
              <w:ind w:right="34"/>
              <w:jc w:val="right"/>
              <w:rPr>
                <w:rFonts w:ascii="Humnst777 BT" w:hAnsi="Humnst777 BT"/>
                <w:iCs/>
                <w:sz w:val="16"/>
                <w:szCs w:val="20"/>
                <w:lang w:bidi="en-US"/>
              </w:rPr>
            </w:pPr>
            <w:r w:rsidRPr="005B1566">
              <w:rPr>
                <w:rFonts w:ascii="Humnst777 BT" w:hAnsi="Humnst777 BT"/>
                <w:iCs/>
                <w:sz w:val="16"/>
                <w:szCs w:val="20"/>
                <w:lang w:bidi="en-US"/>
              </w:rPr>
              <w:t xml:space="preserve">French ∙ Russian Swedish </w:t>
            </w:r>
          </w:p>
          <w:p w14:paraId="1FB26389" w14:textId="77777777" w:rsidR="00D053D0" w:rsidRPr="005B1566" w:rsidRDefault="00D053D0" w:rsidP="003470D5">
            <w:pPr>
              <w:spacing w:line="360" w:lineRule="auto"/>
              <w:ind w:right="34"/>
              <w:jc w:val="right"/>
              <w:rPr>
                <w:rFonts w:ascii="Humnst777 BT" w:hAnsi="Humnst777 BT"/>
                <w:iCs/>
                <w:sz w:val="16"/>
                <w:szCs w:val="20"/>
                <w:lang w:bidi="en-US"/>
              </w:rPr>
            </w:pPr>
            <w:r w:rsidRPr="005B1566">
              <w:rPr>
                <w:rFonts w:ascii="Humnst777 BT" w:hAnsi="Humnst777 BT"/>
                <w:iCs/>
                <w:sz w:val="16"/>
                <w:szCs w:val="20"/>
                <w:lang w:bidi="en-US"/>
              </w:rPr>
              <w:t>United Kingdom</w:t>
            </w:r>
          </w:p>
          <w:p w14:paraId="19A12F2D" w14:textId="77777777" w:rsidR="00D053D0" w:rsidRPr="005B1566" w:rsidRDefault="00D053D0" w:rsidP="003470D5">
            <w:pPr>
              <w:spacing w:line="360" w:lineRule="auto"/>
              <w:ind w:right="34"/>
              <w:jc w:val="right"/>
              <w:rPr>
                <w:rFonts w:ascii="Humnst777 BT" w:hAnsi="Humnst777 BT"/>
                <w:iCs/>
                <w:sz w:val="16"/>
                <w:szCs w:val="20"/>
                <w:lang w:bidi="en-US"/>
              </w:rPr>
            </w:pPr>
          </w:p>
        </w:tc>
      </w:tr>
    </w:tbl>
    <w:tbl>
      <w:tblPr>
        <w:tblpPr w:leftFromText="180" w:rightFromText="180" w:vertAnchor="text" w:horzAnchor="margin" w:tblpXSpec="right" w:tblpY="2667"/>
        <w:tblW w:w="0" w:type="auto"/>
        <w:tblLayout w:type="fixed"/>
        <w:tblLook w:val="04A0" w:firstRow="1" w:lastRow="0" w:firstColumn="1" w:lastColumn="0" w:noHBand="0" w:noVBand="1"/>
      </w:tblPr>
      <w:tblGrid>
        <w:gridCol w:w="6062"/>
      </w:tblGrid>
      <w:tr w:rsidR="00D053D0" w:rsidRPr="0080052C" w14:paraId="05EF062B" w14:textId="77777777" w:rsidTr="003470D5">
        <w:trPr>
          <w:trHeight w:val="924"/>
        </w:trPr>
        <w:tc>
          <w:tcPr>
            <w:tcW w:w="6062" w:type="dxa"/>
            <w:shd w:val="clear" w:color="auto" w:fill="auto"/>
          </w:tcPr>
          <w:p w14:paraId="06378DD3" w14:textId="77777777" w:rsidR="00D053D0" w:rsidRPr="0080052C" w:rsidRDefault="00D053D0" w:rsidP="003470D5">
            <w:pPr>
              <w:rPr>
                <w:rFonts w:ascii="Humnst777 BT" w:hAnsi="Humnst777 BT"/>
                <w:b/>
                <w:bCs/>
                <w:i/>
                <w:iCs/>
                <w:sz w:val="20"/>
                <w:szCs w:val="20"/>
              </w:rPr>
            </w:pPr>
          </w:p>
          <w:p w14:paraId="66364F70" w14:textId="77777777" w:rsidR="00D053D0" w:rsidRDefault="00D053D0" w:rsidP="003470D5">
            <w:pPr>
              <w:spacing w:after="120"/>
              <w:jc w:val="right"/>
              <w:rPr>
                <w:rFonts w:ascii="Humnst777 BT" w:hAnsi="Humnst777 BT"/>
                <w:b/>
                <w:bCs/>
                <w:i/>
                <w:iCs/>
                <w:sz w:val="20"/>
                <w:szCs w:val="20"/>
              </w:rPr>
            </w:pPr>
          </w:p>
          <w:p w14:paraId="26F8D5EC" w14:textId="77777777" w:rsidR="00D053D0" w:rsidRDefault="00D053D0" w:rsidP="003470D5">
            <w:pPr>
              <w:spacing w:after="120"/>
              <w:jc w:val="right"/>
              <w:rPr>
                <w:rFonts w:ascii="Humnst777 BT" w:hAnsi="Humnst777 BT"/>
                <w:b/>
                <w:bCs/>
                <w:i/>
                <w:iCs/>
                <w:sz w:val="20"/>
                <w:szCs w:val="20"/>
              </w:rPr>
            </w:pPr>
          </w:p>
          <w:p w14:paraId="1C489685" w14:textId="4C926350" w:rsidR="00D053D0" w:rsidRPr="0080052C" w:rsidRDefault="00D053D0" w:rsidP="003470D5">
            <w:pPr>
              <w:spacing w:after="120"/>
              <w:jc w:val="right"/>
              <w:rPr>
                <w:rFonts w:ascii="Humnst777 BT" w:hAnsi="Humnst777 BT"/>
                <w:b/>
                <w:bCs/>
                <w:i/>
                <w:iCs/>
                <w:sz w:val="20"/>
                <w:szCs w:val="20"/>
              </w:rPr>
            </w:pPr>
            <w:r w:rsidRPr="0080052C">
              <w:rPr>
                <w:rFonts w:ascii="Humnst777 BT" w:hAnsi="Humnst777 BT"/>
                <w:b/>
                <w:bCs/>
                <w:i/>
                <w:iCs/>
                <w:sz w:val="20"/>
                <w:szCs w:val="20"/>
              </w:rPr>
              <w:t>“</w:t>
            </w:r>
            <w:r>
              <w:rPr>
                <w:rFonts w:ascii="Humnst777 BT" w:hAnsi="Humnst777 BT"/>
                <w:b/>
                <w:bCs/>
                <w:i/>
                <w:iCs/>
                <w:sz w:val="20"/>
                <w:szCs w:val="20"/>
              </w:rPr>
              <w:t>…</w:t>
            </w:r>
            <w:r w:rsidRPr="0080052C">
              <w:rPr>
                <w:rFonts w:ascii="Humnst777 BT" w:hAnsi="Humnst777 BT"/>
                <w:b/>
                <w:bCs/>
                <w:i/>
                <w:iCs/>
                <w:sz w:val="20"/>
                <w:szCs w:val="20"/>
              </w:rPr>
              <w:t>a calm, confident and analytical mediator</w:t>
            </w:r>
            <w:r>
              <w:rPr>
                <w:rFonts w:ascii="Humnst777 BT" w:hAnsi="Humnst777 BT"/>
                <w:b/>
                <w:bCs/>
                <w:i/>
                <w:iCs/>
                <w:sz w:val="20"/>
                <w:szCs w:val="20"/>
              </w:rPr>
              <w:t>.</w:t>
            </w:r>
            <w:r w:rsidRPr="0080052C">
              <w:rPr>
                <w:rFonts w:ascii="Humnst777 BT" w:hAnsi="Humnst777 BT"/>
                <w:b/>
                <w:bCs/>
                <w:i/>
                <w:iCs/>
                <w:sz w:val="20"/>
                <w:szCs w:val="20"/>
              </w:rPr>
              <w:t>”</w:t>
            </w:r>
          </w:p>
          <w:p w14:paraId="27C32F01" w14:textId="77777777" w:rsidR="00D053D0" w:rsidRPr="0080052C" w:rsidRDefault="00D053D0" w:rsidP="003470D5">
            <w:pPr>
              <w:spacing w:after="120"/>
              <w:jc w:val="right"/>
              <w:rPr>
                <w:rFonts w:ascii="Humnst777 BT" w:hAnsi="Humnst777 BT"/>
                <w:bCs/>
                <w:iCs/>
                <w:sz w:val="20"/>
                <w:szCs w:val="20"/>
              </w:rPr>
            </w:pPr>
            <w:r w:rsidRPr="005B1566">
              <w:rPr>
                <w:rFonts w:ascii="Humnst777 BT" w:hAnsi="Humnst777 BT"/>
                <w:bCs/>
                <w:iCs/>
                <w:sz w:val="16"/>
                <w:szCs w:val="20"/>
              </w:rPr>
              <w:t>Assistant Mediator Feedback</w:t>
            </w:r>
          </w:p>
        </w:tc>
      </w:tr>
    </w:tbl>
    <w:p w14:paraId="3DCC5A11" w14:textId="77777777" w:rsidR="00D053D0" w:rsidRPr="0080052C" w:rsidRDefault="00D053D0" w:rsidP="00D053D0">
      <w:pPr>
        <w:rPr>
          <w:rFonts w:ascii="Humnst777 BT" w:hAnsi="Humnst777 BT"/>
          <w:b/>
          <w:bCs/>
          <w:sz w:val="20"/>
          <w:szCs w:val="20"/>
        </w:rPr>
      </w:pPr>
      <w:r w:rsidRPr="0080052C">
        <w:rPr>
          <w:rFonts w:ascii="Humnst777 BT" w:hAnsi="Humnst777 BT"/>
          <w:b/>
          <w:bCs/>
          <w:noProof/>
          <w:sz w:val="20"/>
          <w:szCs w:val="20"/>
          <w:lang w:eastAsia="en-GB"/>
        </w:rPr>
        <w:drawing>
          <wp:anchor distT="0" distB="0" distL="114300" distR="114300" simplePos="0" relativeHeight="251662336" behindDoc="0" locked="0" layoutInCell="1" allowOverlap="1" wp14:anchorId="3F982E5E" wp14:editId="4C37B460">
            <wp:simplePos x="0" y="0"/>
            <wp:positionH relativeFrom="column">
              <wp:posOffset>4445</wp:posOffset>
            </wp:positionH>
            <wp:positionV relativeFrom="paragraph">
              <wp:posOffset>112395</wp:posOffset>
            </wp:positionV>
            <wp:extent cx="1600200" cy="19558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d S Cro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0200" cy="1955800"/>
                    </a:xfrm>
                    <a:prstGeom prst="rect">
                      <a:avLst/>
                    </a:prstGeom>
                  </pic:spPr>
                </pic:pic>
              </a:graphicData>
            </a:graphic>
            <wp14:sizeRelH relativeFrom="page">
              <wp14:pctWidth>0</wp14:pctWidth>
            </wp14:sizeRelH>
            <wp14:sizeRelV relativeFrom="page">
              <wp14:pctHeight>0</wp14:pctHeight>
            </wp14:sizeRelV>
          </wp:anchor>
        </w:drawing>
      </w:r>
    </w:p>
    <w:p w14:paraId="63A80BBA" w14:textId="77777777" w:rsidR="00D053D0" w:rsidRPr="0080052C" w:rsidRDefault="00D053D0" w:rsidP="00D053D0">
      <w:pPr>
        <w:rPr>
          <w:rFonts w:ascii="Humnst777 BT" w:hAnsi="Humnst777 BT"/>
          <w:b/>
          <w:bCs/>
          <w:sz w:val="20"/>
          <w:szCs w:val="20"/>
        </w:rPr>
      </w:pPr>
    </w:p>
    <w:p w14:paraId="40D6B856" w14:textId="77777777" w:rsidR="00D053D0" w:rsidRPr="0080052C" w:rsidRDefault="00D053D0" w:rsidP="00D053D0">
      <w:pPr>
        <w:pStyle w:val="BodyText"/>
        <w:rPr>
          <w:rFonts w:ascii="Humnst777 BT" w:hAnsi="Humnst777 BT"/>
          <w:color w:val="0070C0"/>
          <w:szCs w:val="20"/>
        </w:rPr>
      </w:pPr>
    </w:p>
    <w:p w14:paraId="086A85F3" w14:textId="77777777" w:rsidR="00D053D0" w:rsidRPr="0080052C" w:rsidRDefault="00D053D0" w:rsidP="00D053D0">
      <w:pPr>
        <w:pStyle w:val="BodyText"/>
        <w:spacing w:line="360" w:lineRule="auto"/>
        <w:jc w:val="both"/>
        <w:rPr>
          <w:rFonts w:ascii="Humnst777 BT" w:hAnsi="Humnst777 BT" w:cs="Arial"/>
          <w:color w:val="0070C0"/>
          <w:szCs w:val="20"/>
          <w:shd w:val="clear" w:color="auto" w:fill="FFFFFF"/>
        </w:rPr>
      </w:pPr>
    </w:p>
    <w:p w14:paraId="79A1726C" w14:textId="77777777" w:rsidR="00D053D0" w:rsidRPr="0080052C" w:rsidRDefault="00D053D0" w:rsidP="00D053D0">
      <w:pPr>
        <w:pStyle w:val="BodyText"/>
        <w:spacing w:line="360" w:lineRule="auto"/>
        <w:jc w:val="both"/>
        <w:rPr>
          <w:rFonts w:ascii="Humnst777 BT" w:hAnsi="Humnst777 BT" w:cs="Arial"/>
          <w:color w:val="0070C0"/>
          <w:szCs w:val="20"/>
          <w:shd w:val="clear" w:color="auto" w:fill="FFFFFF"/>
        </w:rPr>
      </w:pPr>
    </w:p>
    <w:p w14:paraId="41AF8D73" w14:textId="77777777" w:rsidR="00D053D0" w:rsidRDefault="00D053D0" w:rsidP="00D053D0">
      <w:pPr>
        <w:pStyle w:val="BodyText"/>
        <w:spacing w:after="120" w:line="360" w:lineRule="auto"/>
        <w:jc w:val="both"/>
        <w:rPr>
          <w:rFonts w:ascii="Humnst777 BT" w:hAnsi="Humnst777 BT"/>
          <w:b/>
          <w:bCs/>
          <w:color w:val="0070C0"/>
          <w:szCs w:val="20"/>
        </w:rPr>
      </w:pPr>
      <w:bookmarkStart w:id="0" w:name="OLE_LINK4"/>
    </w:p>
    <w:p w14:paraId="06D24421" w14:textId="77777777" w:rsidR="00D053D0" w:rsidRDefault="00D053D0" w:rsidP="00D053D0">
      <w:pPr>
        <w:pStyle w:val="BodyText"/>
        <w:spacing w:after="120" w:line="360" w:lineRule="auto"/>
        <w:jc w:val="both"/>
        <w:rPr>
          <w:rFonts w:ascii="Humnst777 BT" w:hAnsi="Humnst777 BT"/>
          <w:b/>
          <w:bCs/>
          <w:color w:val="0070C0"/>
          <w:szCs w:val="20"/>
        </w:rPr>
      </w:pPr>
    </w:p>
    <w:p w14:paraId="4B8C672D" w14:textId="77777777" w:rsidR="00D053D0" w:rsidRDefault="00D053D0" w:rsidP="00D053D0">
      <w:pPr>
        <w:pStyle w:val="BodyText"/>
        <w:spacing w:after="120" w:line="360" w:lineRule="auto"/>
        <w:jc w:val="both"/>
        <w:rPr>
          <w:rFonts w:ascii="Humnst777 BT" w:hAnsi="Humnst777 BT"/>
          <w:b/>
          <w:bCs/>
          <w:color w:val="0070C0"/>
          <w:szCs w:val="20"/>
        </w:rPr>
      </w:pPr>
    </w:p>
    <w:tbl>
      <w:tblPr>
        <w:tblpPr w:leftFromText="180" w:rightFromText="180" w:vertAnchor="text" w:horzAnchor="margin" w:tblpY="28"/>
        <w:tblW w:w="0" w:type="auto"/>
        <w:tblLook w:val="04A0" w:firstRow="1" w:lastRow="0" w:firstColumn="1" w:lastColumn="0" w:noHBand="0" w:noVBand="1"/>
      </w:tblPr>
      <w:tblGrid>
        <w:gridCol w:w="2401"/>
      </w:tblGrid>
      <w:tr w:rsidR="00D053D0" w:rsidRPr="0080052C" w14:paraId="2C32584D" w14:textId="77777777" w:rsidTr="003470D5">
        <w:trPr>
          <w:trHeight w:val="361"/>
        </w:trPr>
        <w:tc>
          <w:tcPr>
            <w:tcW w:w="2401" w:type="dxa"/>
            <w:shd w:val="clear" w:color="auto" w:fill="auto"/>
            <w:vAlign w:val="bottom"/>
          </w:tcPr>
          <w:p w14:paraId="266E9A57" w14:textId="77777777" w:rsidR="00D053D0" w:rsidRDefault="00D053D0" w:rsidP="003470D5">
            <w:pPr>
              <w:pStyle w:val="Heading1"/>
              <w:spacing w:line="240" w:lineRule="exact"/>
              <w:rPr>
                <w:rFonts w:ascii="Humnst777 BT" w:hAnsi="Humnst777 BT"/>
                <w:color w:val="0070C0"/>
                <w:sz w:val="28"/>
                <w:szCs w:val="20"/>
              </w:rPr>
            </w:pPr>
          </w:p>
          <w:p w14:paraId="06EFD532" w14:textId="77777777" w:rsidR="00D053D0" w:rsidRDefault="00D053D0" w:rsidP="003470D5">
            <w:pPr>
              <w:pStyle w:val="Heading1"/>
              <w:spacing w:line="240" w:lineRule="exact"/>
              <w:rPr>
                <w:rFonts w:ascii="Humnst777 BT" w:hAnsi="Humnst777 BT"/>
                <w:color w:val="0070C0"/>
                <w:sz w:val="28"/>
                <w:szCs w:val="20"/>
              </w:rPr>
            </w:pPr>
          </w:p>
          <w:p w14:paraId="5C0609A2" w14:textId="77777777" w:rsidR="00D053D0" w:rsidRDefault="00D053D0" w:rsidP="003470D5">
            <w:pPr>
              <w:pStyle w:val="Heading1"/>
              <w:spacing w:line="240" w:lineRule="exact"/>
              <w:rPr>
                <w:rFonts w:ascii="Humnst777 BT" w:hAnsi="Humnst777 BT"/>
                <w:color w:val="0070C0"/>
                <w:sz w:val="28"/>
                <w:szCs w:val="20"/>
              </w:rPr>
            </w:pPr>
          </w:p>
          <w:p w14:paraId="645F043C" w14:textId="39D2835B" w:rsidR="00D053D0" w:rsidRPr="0080052C" w:rsidRDefault="00D053D0" w:rsidP="003470D5">
            <w:pPr>
              <w:pStyle w:val="Heading1"/>
              <w:spacing w:line="240" w:lineRule="exact"/>
              <w:rPr>
                <w:rFonts w:ascii="Humnst777 BT" w:hAnsi="Humnst777 BT"/>
                <w:color w:val="0070C0"/>
                <w:sz w:val="20"/>
                <w:szCs w:val="20"/>
              </w:rPr>
            </w:pPr>
            <w:r w:rsidRPr="00B70EE6">
              <w:rPr>
                <w:rFonts w:ascii="Humnst777 BT" w:hAnsi="Humnst777 BT"/>
                <w:color w:val="0070C0"/>
                <w:sz w:val="28"/>
                <w:szCs w:val="20"/>
              </w:rPr>
              <w:t>Stephen Boyd</w:t>
            </w:r>
          </w:p>
        </w:tc>
      </w:tr>
    </w:tbl>
    <w:p w14:paraId="22724808" w14:textId="77777777" w:rsidR="00D053D0" w:rsidRDefault="00D053D0" w:rsidP="00D053D0">
      <w:pPr>
        <w:pStyle w:val="BodyText"/>
        <w:spacing w:after="120" w:line="360" w:lineRule="auto"/>
        <w:jc w:val="both"/>
        <w:rPr>
          <w:rFonts w:ascii="Humnst777 BT" w:hAnsi="Humnst777 BT"/>
          <w:b/>
          <w:bCs/>
          <w:color w:val="0070C0"/>
          <w:szCs w:val="20"/>
        </w:rPr>
      </w:pPr>
    </w:p>
    <w:p w14:paraId="15422E61" w14:textId="77777777" w:rsidR="00D053D0" w:rsidRDefault="00D053D0" w:rsidP="00D053D0">
      <w:pPr>
        <w:pStyle w:val="BodyText"/>
        <w:spacing w:after="120" w:line="360" w:lineRule="auto"/>
        <w:jc w:val="both"/>
        <w:rPr>
          <w:rFonts w:ascii="Humnst777 BT" w:hAnsi="Humnst777 BT"/>
          <w:b/>
          <w:bCs/>
          <w:color w:val="0070C0"/>
          <w:szCs w:val="20"/>
        </w:rPr>
      </w:pPr>
    </w:p>
    <w:p w14:paraId="4FF4ABBB" w14:textId="77777777" w:rsidR="00D053D0" w:rsidRDefault="00D053D0" w:rsidP="00D053D0">
      <w:pPr>
        <w:pStyle w:val="BodyText"/>
        <w:spacing w:after="120" w:line="360" w:lineRule="auto"/>
        <w:jc w:val="both"/>
        <w:rPr>
          <w:rFonts w:ascii="Humnst777 BT" w:hAnsi="Humnst777 BT"/>
          <w:b/>
          <w:bCs/>
          <w:color w:val="0070C0"/>
          <w:szCs w:val="20"/>
        </w:rPr>
      </w:pPr>
    </w:p>
    <w:p w14:paraId="26FA000E" w14:textId="720549FF" w:rsidR="00D053D0" w:rsidRPr="0080052C" w:rsidRDefault="00D053D0" w:rsidP="00D053D0">
      <w:pPr>
        <w:pStyle w:val="BodyText"/>
        <w:spacing w:after="120" w:line="360" w:lineRule="auto"/>
        <w:jc w:val="both"/>
        <w:rPr>
          <w:rFonts w:ascii="Humnst777 BT" w:hAnsi="Humnst777 BT"/>
          <w:b/>
          <w:bCs/>
          <w:color w:val="0070C0"/>
          <w:szCs w:val="20"/>
        </w:rPr>
      </w:pPr>
      <w:r w:rsidRPr="0080052C">
        <w:rPr>
          <w:rFonts w:ascii="Humnst777 BT" w:hAnsi="Humnst777 BT"/>
          <w:b/>
          <w:bCs/>
          <w:color w:val="0070C0"/>
          <w:szCs w:val="20"/>
        </w:rPr>
        <w:t>Overview</w:t>
      </w:r>
    </w:p>
    <w:p w14:paraId="5FE0D121" w14:textId="4FAC2DF1" w:rsidR="00D053D0" w:rsidRPr="0080052C" w:rsidRDefault="00D053D0" w:rsidP="00D053D0">
      <w:pPr>
        <w:pStyle w:val="BodyText"/>
        <w:spacing w:after="120" w:line="360" w:lineRule="auto"/>
        <w:jc w:val="both"/>
        <w:rPr>
          <w:rFonts w:ascii="Humnst777 BT" w:hAnsi="Humnst777 BT" w:cs="Arial"/>
          <w:szCs w:val="20"/>
          <w:shd w:val="clear" w:color="auto" w:fill="FFFFFF"/>
        </w:rPr>
      </w:pPr>
      <w:r w:rsidRPr="0080052C">
        <w:rPr>
          <w:rFonts w:ascii="Humnst777 BT" w:hAnsi="Humnst777 BT" w:cs="Arial"/>
          <w:szCs w:val="20"/>
          <w:shd w:val="clear" w:color="auto" w:fill="FFFFFF"/>
        </w:rPr>
        <w:t>Stephen Boyd is a practising barrister</w:t>
      </w:r>
      <w:r>
        <w:rPr>
          <w:rFonts w:ascii="Humnst777 BT" w:hAnsi="Humnst777 BT" w:cs="Arial"/>
          <w:szCs w:val="20"/>
          <w:shd w:val="clear" w:color="auto" w:fill="FFFFFF"/>
        </w:rPr>
        <w:t xml:space="preserve">, </w:t>
      </w:r>
      <w:r w:rsidRPr="0080052C">
        <w:rPr>
          <w:rFonts w:ascii="Humnst777 BT" w:hAnsi="Humnst777 BT" w:cs="Arial"/>
          <w:szCs w:val="20"/>
          <w:shd w:val="clear" w:color="auto" w:fill="FFFFFF"/>
        </w:rPr>
        <w:t xml:space="preserve">mediator </w:t>
      </w:r>
      <w:r w:rsidR="00480203">
        <w:rPr>
          <w:rFonts w:ascii="Humnst777 BT" w:hAnsi="Humnst777 BT" w:cs="Arial"/>
          <w:szCs w:val="20"/>
          <w:shd w:val="clear" w:color="auto" w:fill="FFFFFF"/>
        </w:rPr>
        <w:t xml:space="preserve">and arbitrator </w:t>
      </w:r>
      <w:r w:rsidRPr="0080052C">
        <w:rPr>
          <w:rFonts w:ascii="Humnst777 BT" w:hAnsi="Humnst777 BT" w:cs="Arial"/>
          <w:szCs w:val="20"/>
          <w:shd w:val="clear" w:color="auto" w:fill="FFFFFF"/>
        </w:rPr>
        <w:t xml:space="preserve">specialising in </w:t>
      </w:r>
      <w:r w:rsidR="00A52933">
        <w:rPr>
          <w:rFonts w:ascii="Humnst777 BT" w:hAnsi="Humnst777 BT" w:cs="Arial"/>
          <w:szCs w:val="20"/>
          <w:shd w:val="clear" w:color="auto" w:fill="FFFFFF"/>
        </w:rPr>
        <w:t>wills, trusts and probate</w:t>
      </w:r>
      <w:r w:rsidR="00480203">
        <w:rPr>
          <w:rFonts w:ascii="Humnst777 BT" w:hAnsi="Humnst777 BT" w:cs="Arial"/>
          <w:szCs w:val="20"/>
          <w:shd w:val="clear" w:color="auto" w:fill="FFFFFF"/>
        </w:rPr>
        <w:t xml:space="preserve">, property and </w:t>
      </w:r>
      <w:r w:rsidR="00A52933">
        <w:rPr>
          <w:rFonts w:ascii="Humnst777 BT" w:hAnsi="Humnst777 BT" w:cs="Arial"/>
          <w:szCs w:val="20"/>
          <w:shd w:val="clear" w:color="auto" w:fill="FFFFFF"/>
        </w:rPr>
        <w:t xml:space="preserve"> </w:t>
      </w:r>
      <w:r w:rsidRPr="0080052C">
        <w:rPr>
          <w:rFonts w:ascii="Humnst777 BT" w:hAnsi="Humnst777 BT" w:cs="Arial"/>
          <w:szCs w:val="20"/>
          <w:shd w:val="clear" w:color="auto" w:fill="FFFFFF"/>
        </w:rPr>
        <w:t>commercial</w:t>
      </w:r>
      <w:r w:rsidR="00480203">
        <w:rPr>
          <w:rFonts w:ascii="Humnst777 BT" w:hAnsi="Humnst777 BT" w:cs="Arial"/>
          <w:szCs w:val="20"/>
          <w:shd w:val="clear" w:color="auto" w:fill="FFFFFF"/>
        </w:rPr>
        <w:t xml:space="preserve"> disputes. </w:t>
      </w:r>
      <w:r w:rsidRPr="0080052C">
        <w:rPr>
          <w:rFonts w:ascii="Humnst777 BT" w:hAnsi="Humnst777 BT" w:cs="Arial"/>
          <w:szCs w:val="20"/>
          <w:shd w:val="clear" w:color="auto" w:fill="FFFFFF"/>
        </w:rPr>
        <w:t xml:space="preserve"> </w:t>
      </w:r>
      <w:r w:rsidR="00C759FD">
        <w:rPr>
          <w:rFonts w:ascii="Humnst777 BT" w:hAnsi="Humnst777 BT" w:cs="Arial"/>
          <w:szCs w:val="20"/>
          <w:shd w:val="clear" w:color="auto" w:fill="FFFFFF"/>
        </w:rPr>
        <w:t xml:space="preserve">He is </w:t>
      </w:r>
      <w:r w:rsidR="002375B3">
        <w:rPr>
          <w:rFonts w:ascii="Humnst777 BT" w:hAnsi="Humnst777 BT" w:cs="Arial"/>
          <w:szCs w:val="20"/>
          <w:shd w:val="clear" w:color="auto" w:fill="FFFFFF"/>
        </w:rPr>
        <w:t xml:space="preserve">a graduate of the ACTAPS course. </w:t>
      </w:r>
      <w:r w:rsidRPr="0080052C">
        <w:rPr>
          <w:rFonts w:ascii="Humnst777 BT" w:hAnsi="Humnst777 BT" w:cs="Arial"/>
          <w:szCs w:val="20"/>
          <w:shd w:val="clear" w:color="auto" w:fill="FFFFFF"/>
        </w:rPr>
        <w:t xml:space="preserve">He </w:t>
      </w:r>
      <w:r w:rsidR="0002365D">
        <w:rPr>
          <w:rFonts w:ascii="Humnst777 BT" w:hAnsi="Humnst777 BT" w:cs="Arial"/>
          <w:szCs w:val="20"/>
          <w:shd w:val="clear" w:color="auto" w:fill="FFFFFF"/>
        </w:rPr>
        <w:t xml:space="preserve">has </w:t>
      </w:r>
      <w:r w:rsidR="00EB3EF0">
        <w:rPr>
          <w:rFonts w:ascii="Humnst777 BT" w:hAnsi="Humnst777 BT" w:cs="Arial"/>
          <w:szCs w:val="20"/>
          <w:shd w:val="clear" w:color="auto" w:fill="FFFFFF"/>
        </w:rPr>
        <w:t>great</w:t>
      </w:r>
      <w:r w:rsidRPr="0080052C">
        <w:rPr>
          <w:rFonts w:ascii="Humnst777 BT" w:hAnsi="Humnst777 BT" w:cs="Arial"/>
          <w:szCs w:val="20"/>
          <w:shd w:val="clear" w:color="auto" w:fill="FFFFFF"/>
        </w:rPr>
        <w:t xml:space="preserve"> people skills</w:t>
      </w:r>
      <w:r w:rsidR="00EB3EF0">
        <w:rPr>
          <w:rFonts w:ascii="Humnst777 BT" w:hAnsi="Humnst777 BT" w:cs="Arial"/>
          <w:szCs w:val="20"/>
          <w:shd w:val="clear" w:color="auto" w:fill="FFFFFF"/>
        </w:rPr>
        <w:t xml:space="preserve"> and is good at building rapport </w:t>
      </w:r>
      <w:r w:rsidR="0085182C">
        <w:rPr>
          <w:rFonts w:ascii="Humnst777 BT" w:hAnsi="Humnst777 BT" w:cs="Arial"/>
          <w:szCs w:val="20"/>
          <w:shd w:val="clear" w:color="auto" w:fill="FFFFFF"/>
        </w:rPr>
        <w:t>with parties. He brings</w:t>
      </w:r>
      <w:r w:rsidR="00ED37AF">
        <w:rPr>
          <w:rFonts w:ascii="Humnst777 BT" w:hAnsi="Humnst777 BT" w:cs="Arial"/>
          <w:szCs w:val="20"/>
          <w:shd w:val="clear" w:color="auto" w:fill="FFFFFF"/>
        </w:rPr>
        <w:t xml:space="preserve"> </w:t>
      </w:r>
      <w:r w:rsidR="003440F1">
        <w:rPr>
          <w:rFonts w:ascii="Humnst777 BT" w:hAnsi="Humnst777 BT" w:cs="Arial"/>
          <w:szCs w:val="20"/>
          <w:shd w:val="clear" w:color="auto" w:fill="FFFFFF"/>
        </w:rPr>
        <w:t xml:space="preserve">long </w:t>
      </w:r>
      <w:r w:rsidRPr="0080052C">
        <w:rPr>
          <w:rFonts w:ascii="Humnst777 BT" w:hAnsi="Humnst777 BT" w:cs="Arial"/>
          <w:szCs w:val="20"/>
          <w:shd w:val="clear" w:color="auto" w:fill="FFFFFF"/>
        </w:rPr>
        <w:t>experience</w:t>
      </w:r>
      <w:r w:rsidR="0087269C">
        <w:rPr>
          <w:rFonts w:ascii="Humnst777 BT" w:hAnsi="Humnst777 BT" w:cs="Arial"/>
          <w:szCs w:val="20"/>
          <w:shd w:val="clear" w:color="auto" w:fill="FFFFFF"/>
        </w:rPr>
        <w:t>,</w:t>
      </w:r>
      <w:r w:rsidR="002F4AF3">
        <w:rPr>
          <w:rFonts w:ascii="Humnst777 BT" w:hAnsi="Humnst777 BT" w:cs="Arial"/>
          <w:szCs w:val="20"/>
          <w:shd w:val="clear" w:color="auto" w:fill="FFFFFF"/>
        </w:rPr>
        <w:t xml:space="preserve"> careful preparation</w:t>
      </w:r>
      <w:r w:rsidRPr="0080052C">
        <w:rPr>
          <w:rFonts w:ascii="Humnst777 BT" w:hAnsi="Humnst777 BT" w:cs="Arial"/>
          <w:szCs w:val="20"/>
          <w:shd w:val="clear" w:color="auto" w:fill="FFFFFF"/>
        </w:rPr>
        <w:t xml:space="preserve"> and </w:t>
      </w:r>
      <w:r w:rsidR="000E4A3F">
        <w:rPr>
          <w:rFonts w:ascii="Humnst777 BT" w:hAnsi="Humnst777 BT" w:cs="Arial"/>
          <w:szCs w:val="20"/>
          <w:shd w:val="clear" w:color="auto" w:fill="FFFFFF"/>
        </w:rPr>
        <w:t>incisive reality testing</w:t>
      </w:r>
      <w:r w:rsidRPr="0080052C">
        <w:rPr>
          <w:rFonts w:ascii="Humnst777 BT" w:hAnsi="Humnst777 BT" w:cs="Arial"/>
          <w:szCs w:val="20"/>
          <w:shd w:val="clear" w:color="auto" w:fill="FFFFFF"/>
        </w:rPr>
        <w:t xml:space="preserve"> to the resolution of disputes</w:t>
      </w:r>
      <w:r w:rsidR="007F0442">
        <w:rPr>
          <w:rFonts w:ascii="Humnst777 BT" w:hAnsi="Humnst777 BT" w:cs="Arial"/>
          <w:szCs w:val="20"/>
          <w:shd w:val="clear" w:color="auto" w:fill="FFFFFF"/>
        </w:rPr>
        <w:t>.</w:t>
      </w:r>
    </w:p>
    <w:p w14:paraId="4EC3DA18" w14:textId="77777777" w:rsidR="00D053D0" w:rsidRPr="0080052C" w:rsidRDefault="00D053D0" w:rsidP="00D053D0">
      <w:pPr>
        <w:pStyle w:val="BodyText"/>
        <w:spacing w:after="120" w:line="360" w:lineRule="auto"/>
        <w:jc w:val="both"/>
        <w:rPr>
          <w:rFonts w:ascii="Humnst777 BT" w:hAnsi="Humnst777 BT" w:cs="Arial"/>
          <w:szCs w:val="20"/>
          <w:shd w:val="clear" w:color="auto" w:fill="FFFFFF"/>
        </w:rPr>
      </w:pPr>
    </w:p>
    <w:p w14:paraId="4A92B544" w14:textId="77777777" w:rsidR="00D053D0" w:rsidRPr="0080052C" w:rsidRDefault="00D053D0" w:rsidP="00D053D0">
      <w:pPr>
        <w:pStyle w:val="BodyText"/>
        <w:spacing w:after="120" w:line="360" w:lineRule="auto"/>
        <w:jc w:val="both"/>
        <w:rPr>
          <w:rFonts w:ascii="Humnst777 BT" w:hAnsi="Humnst777 BT" w:cs="Arial"/>
          <w:b/>
          <w:color w:val="0070C0"/>
          <w:szCs w:val="20"/>
          <w:shd w:val="clear" w:color="auto" w:fill="FFFFFF"/>
        </w:rPr>
      </w:pPr>
      <w:r w:rsidRPr="0080052C">
        <w:rPr>
          <w:rFonts w:ascii="Humnst777 BT" w:hAnsi="Humnst777 BT" w:cs="Arial"/>
          <w:b/>
          <w:color w:val="0070C0"/>
          <w:szCs w:val="20"/>
          <w:shd w:val="clear" w:color="auto" w:fill="FFFFFF"/>
        </w:rPr>
        <w:t>Professional Background</w:t>
      </w:r>
    </w:p>
    <w:p w14:paraId="7940D6C7" w14:textId="77777777" w:rsidR="00D053D0" w:rsidRPr="0080052C" w:rsidRDefault="00D053D0" w:rsidP="00D053D0">
      <w:pPr>
        <w:pStyle w:val="BodyText"/>
        <w:spacing w:after="120" w:line="360" w:lineRule="auto"/>
        <w:jc w:val="both"/>
        <w:rPr>
          <w:rFonts w:ascii="Humnst777 BT" w:hAnsi="Humnst777 BT" w:cs="Arial"/>
          <w:szCs w:val="20"/>
          <w:shd w:val="clear" w:color="auto" w:fill="FFFFFF"/>
        </w:rPr>
      </w:pPr>
      <w:r w:rsidRPr="0080052C">
        <w:rPr>
          <w:rFonts w:ascii="Humnst777 BT" w:hAnsi="Humnst777 BT" w:cs="Arial"/>
          <w:szCs w:val="20"/>
          <w:shd w:val="clear" w:color="auto" w:fill="FFFFFF"/>
        </w:rPr>
        <w:t xml:space="preserve">Stephen began his career as a management trainee </w:t>
      </w:r>
      <w:r>
        <w:rPr>
          <w:rFonts w:ascii="Humnst777 BT" w:hAnsi="Humnst777 BT" w:cs="Arial"/>
          <w:szCs w:val="20"/>
          <w:shd w:val="clear" w:color="auto" w:fill="FFFFFF"/>
        </w:rPr>
        <w:t xml:space="preserve">with </w:t>
      </w:r>
      <w:r w:rsidRPr="0080052C">
        <w:rPr>
          <w:rFonts w:ascii="Humnst777 BT" w:hAnsi="Humnst777 BT" w:cs="Arial"/>
          <w:szCs w:val="20"/>
          <w:shd w:val="clear" w:color="auto" w:fill="FFFFFF"/>
        </w:rPr>
        <w:t>the Inchcape Group in Hong Kong, where he received a practical commercial education, dealing with the import, export and wholesale/retail sale of various merchandise. He then worked as a trainee metals trader in South Africa, dealing with the buying and selling of metals and their transportation</w:t>
      </w:r>
      <w:r>
        <w:rPr>
          <w:rFonts w:ascii="Humnst777 BT" w:hAnsi="Humnst777 BT" w:cs="Arial"/>
          <w:szCs w:val="20"/>
          <w:shd w:val="clear" w:color="auto" w:fill="FFFFFF"/>
        </w:rPr>
        <w:t xml:space="preserve"> around the world</w:t>
      </w:r>
      <w:r w:rsidRPr="0080052C">
        <w:rPr>
          <w:rFonts w:ascii="Humnst777 BT" w:hAnsi="Humnst777 BT" w:cs="Arial"/>
          <w:szCs w:val="20"/>
          <w:shd w:val="clear" w:color="auto" w:fill="FFFFFF"/>
        </w:rPr>
        <w:t>. Having already qualified as a barrister, Stephen then returned to the UK to practise in 198</w:t>
      </w:r>
      <w:r>
        <w:rPr>
          <w:rFonts w:ascii="Humnst777 BT" w:hAnsi="Humnst777 BT" w:cs="Arial"/>
          <w:szCs w:val="20"/>
          <w:shd w:val="clear" w:color="auto" w:fill="FFFFFF"/>
        </w:rPr>
        <w:t>2</w:t>
      </w:r>
      <w:r w:rsidRPr="0080052C">
        <w:rPr>
          <w:rFonts w:ascii="Humnst777 BT" w:hAnsi="Humnst777 BT" w:cs="Arial"/>
          <w:szCs w:val="20"/>
          <w:shd w:val="clear" w:color="auto" w:fill="FFFFFF"/>
        </w:rPr>
        <w:t xml:space="preserve">. He is a member of the commercial and chancery law set, Selborne Chambers. </w:t>
      </w:r>
    </w:p>
    <w:p w14:paraId="477C91C5" w14:textId="77777777" w:rsidR="00D053D0" w:rsidRPr="0080052C" w:rsidRDefault="00D053D0" w:rsidP="00D053D0">
      <w:pPr>
        <w:pStyle w:val="BodyText"/>
        <w:spacing w:after="120" w:line="360" w:lineRule="auto"/>
        <w:jc w:val="both"/>
        <w:rPr>
          <w:rFonts w:ascii="Humnst777 BT" w:hAnsi="Humnst777 BT"/>
          <w:b/>
          <w:bCs/>
          <w:szCs w:val="20"/>
        </w:rPr>
      </w:pPr>
    </w:p>
    <w:p w14:paraId="10F1079D" w14:textId="0799E9BB" w:rsidR="00D053D0" w:rsidRPr="0080052C" w:rsidRDefault="00D053D0" w:rsidP="00D053D0">
      <w:pPr>
        <w:pStyle w:val="BodyText"/>
        <w:spacing w:after="120" w:line="360" w:lineRule="auto"/>
        <w:jc w:val="both"/>
        <w:rPr>
          <w:rFonts w:ascii="Humnst777 BT" w:hAnsi="Humnst777 BT"/>
          <w:b/>
          <w:bCs/>
          <w:szCs w:val="20"/>
        </w:rPr>
      </w:pPr>
      <w:r>
        <w:rPr>
          <w:noProof/>
          <w:lang w:eastAsia="en-GB"/>
        </w:rPr>
        <w:drawing>
          <wp:anchor distT="0" distB="0" distL="114300" distR="114300" simplePos="0" relativeHeight="251664384" behindDoc="1" locked="0" layoutInCell="1" allowOverlap="1" wp14:anchorId="2FE0B04F" wp14:editId="27F41647">
            <wp:simplePos x="0" y="0"/>
            <wp:positionH relativeFrom="page">
              <wp:align>left</wp:align>
            </wp:positionH>
            <wp:positionV relativeFrom="page">
              <wp:align>bottom</wp:align>
            </wp:positionV>
            <wp:extent cx="7581600" cy="1047600"/>
            <wp:effectExtent l="0" t="0" r="635" b="635"/>
            <wp:wrapThrough wrapText="bothSides">
              <wp:wrapPolygon edited="0">
                <wp:start x="0" y="0"/>
                <wp:lineTo x="0" y="21220"/>
                <wp:lineTo x="21548" y="21220"/>
                <wp:lineTo x="21548" y="0"/>
                <wp:lineTo x="0" y="0"/>
              </wp:wrapPolygon>
            </wp:wrapThrough>
            <wp:docPr id="1" name="Picture 1" descr="C:\Users\ncollier\Desktop\29-01-2020 15-17-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collier\Desktop\29-01-2020 15-17-49.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81600" cy="104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052C">
        <w:rPr>
          <w:rFonts w:ascii="Humnst777 BT" w:hAnsi="Humnst777 BT"/>
          <w:b/>
          <w:bCs/>
          <w:color w:val="0070C0"/>
          <w:szCs w:val="20"/>
        </w:rPr>
        <w:t>Expertise</w:t>
      </w:r>
    </w:p>
    <w:tbl>
      <w:tblPr>
        <w:tblW w:w="9832" w:type="dxa"/>
        <w:tblLayout w:type="fixed"/>
        <w:tblLook w:val="04A0" w:firstRow="1" w:lastRow="0" w:firstColumn="1" w:lastColumn="0" w:noHBand="0" w:noVBand="1"/>
      </w:tblPr>
      <w:tblGrid>
        <w:gridCol w:w="3510"/>
        <w:gridCol w:w="3119"/>
        <w:gridCol w:w="3203"/>
      </w:tblGrid>
      <w:tr w:rsidR="00D053D0" w:rsidRPr="0080052C" w14:paraId="5B555BC2" w14:textId="77777777" w:rsidTr="003470D5">
        <w:tc>
          <w:tcPr>
            <w:tcW w:w="3510" w:type="dxa"/>
            <w:shd w:val="clear" w:color="auto" w:fill="auto"/>
          </w:tcPr>
          <w:p w14:paraId="09BDCBBC" w14:textId="77777777" w:rsidR="00D053D0" w:rsidRPr="0080052C" w:rsidRDefault="00D053D0" w:rsidP="00D053D0">
            <w:pPr>
              <w:numPr>
                <w:ilvl w:val="0"/>
                <w:numId w:val="1"/>
              </w:numPr>
              <w:spacing w:after="120" w:line="360" w:lineRule="auto"/>
              <w:rPr>
                <w:rFonts w:ascii="Humnst777 BT" w:hAnsi="Humnst777 BT"/>
                <w:sz w:val="20"/>
                <w:szCs w:val="20"/>
              </w:rPr>
            </w:pPr>
            <w:r w:rsidRPr="0080052C">
              <w:rPr>
                <w:rFonts w:ascii="Humnst777 BT" w:hAnsi="Humnst777 BT"/>
                <w:sz w:val="20"/>
                <w:szCs w:val="20"/>
              </w:rPr>
              <w:t>Aviation</w:t>
            </w:r>
          </w:p>
          <w:p w14:paraId="513D9987" w14:textId="77777777" w:rsidR="00D053D0" w:rsidRPr="0080052C" w:rsidRDefault="00D053D0" w:rsidP="00D053D0">
            <w:pPr>
              <w:numPr>
                <w:ilvl w:val="0"/>
                <w:numId w:val="1"/>
              </w:numPr>
              <w:spacing w:after="120" w:line="360" w:lineRule="auto"/>
              <w:rPr>
                <w:rFonts w:ascii="Humnst777 BT" w:hAnsi="Humnst777 BT"/>
                <w:sz w:val="20"/>
                <w:szCs w:val="20"/>
              </w:rPr>
            </w:pPr>
            <w:r w:rsidRPr="0080052C">
              <w:rPr>
                <w:rFonts w:ascii="Humnst777 BT" w:hAnsi="Humnst777 BT"/>
                <w:sz w:val="20"/>
                <w:szCs w:val="20"/>
              </w:rPr>
              <w:t>Commercial Contract</w:t>
            </w:r>
            <w:r>
              <w:rPr>
                <w:rFonts w:ascii="Humnst777 BT" w:hAnsi="Humnst777 BT"/>
                <w:sz w:val="20"/>
                <w:szCs w:val="20"/>
              </w:rPr>
              <w:t>s</w:t>
            </w:r>
          </w:p>
          <w:p w14:paraId="4337ACA8" w14:textId="77777777" w:rsidR="00D053D0" w:rsidRPr="0080052C" w:rsidRDefault="00D053D0" w:rsidP="00D053D0">
            <w:pPr>
              <w:numPr>
                <w:ilvl w:val="0"/>
                <w:numId w:val="1"/>
              </w:numPr>
              <w:spacing w:after="120" w:line="360" w:lineRule="auto"/>
              <w:rPr>
                <w:rFonts w:ascii="Humnst777 BT" w:hAnsi="Humnst777 BT"/>
                <w:sz w:val="20"/>
                <w:szCs w:val="20"/>
              </w:rPr>
            </w:pPr>
            <w:r w:rsidRPr="0080052C">
              <w:rPr>
                <w:rFonts w:ascii="Humnst777 BT" w:hAnsi="Humnst777 BT"/>
                <w:sz w:val="20"/>
                <w:szCs w:val="20"/>
              </w:rPr>
              <w:t>Construction &amp; Engineering</w:t>
            </w:r>
          </w:p>
          <w:p w14:paraId="49E76FFD" w14:textId="77777777" w:rsidR="00D053D0" w:rsidRPr="0080052C" w:rsidRDefault="00D053D0" w:rsidP="00D053D0">
            <w:pPr>
              <w:numPr>
                <w:ilvl w:val="0"/>
                <w:numId w:val="1"/>
              </w:numPr>
              <w:spacing w:after="120" w:line="360" w:lineRule="auto"/>
              <w:rPr>
                <w:rFonts w:ascii="Humnst777 BT" w:hAnsi="Humnst777 BT"/>
                <w:sz w:val="20"/>
                <w:szCs w:val="20"/>
              </w:rPr>
            </w:pPr>
            <w:r w:rsidRPr="0080052C">
              <w:rPr>
                <w:rFonts w:ascii="Humnst777 BT" w:hAnsi="Humnst777 BT"/>
                <w:sz w:val="20"/>
                <w:szCs w:val="20"/>
              </w:rPr>
              <w:t xml:space="preserve">Insolvency </w:t>
            </w:r>
          </w:p>
        </w:tc>
        <w:tc>
          <w:tcPr>
            <w:tcW w:w="3119" w:type="dxa"/>
            <w:shd w:val="clear" w:color="auto" w:fill="auto"/>
          </w:tcPr>
          <w:p w14:paraId="4EC01746" w14:textId="77777777" w:rsidR="00D053D0" w:rsidRDefault="00D053D0" w:rsidP="00D053D0">
            <w:pPr>
              <w:numPr>
                <w:ilvl w:val="0"/>
                <w:numId w:val="1"/>
              </w:numPr>
              <w:spacing w:after="120" w:line="360" w:lineRule="auto"/>
              <w:ind w:left="459" w:hanging="283"/>
              <w:rPr>
                <w:rFonts w:ascii="Humnst777 BT" w:hAnsi="Humnst777 BT"/>
                <w:sz w:val="20"/>
                <w:szCs w:val="20"/>
              </w:rPr>
            </w:pPr>
            <w:r w:rsidRPr="0080052C">
              <w:rPr>
                <w:rFonts w:ascii="Humnst777 BT" w:hAnsi="Humnst777 BT"/>
                <w:sz w:val="20"/>
                <w:szCs w:val="20"/>
              </w:rPr>
              <w:t xml:space="preserve">Media &amp; Entertainment </w:t>
            </w:r>
          </w:p>
          <w:p w14:paraId="3A49B484" w14:textId="77777777" w:rsidR="00D053D0" w:rsidRDefault="00D053D0" w:rsidP="00D053D0">
            <w:pPr>
              <w:numPr>
                <w:ilvl w:val="0"/>
                <w:numId w:val="1"/>
              </w:numPr>
              <w:spacing w:after="120" w:line="360" w:lineRule="auto"/>
              <w:ind w:left="459" w:hanging="283"/>
              <w:rPr>
                <w:rFonts w:ascii="Humnst777 BT" w:hAnsi="Humnst777 BT"/>
                <w:sz w:val="20"/>
                <w:szCs w:val="20"/>
              </w:rPr>
            </w:pPr>
            <w:r>
              <w:rPr>
                <w:rFonts w:ascii="Humnst777 BT" w:hAnsi="Humnst777 BT"/>
                <w:sz w:val="20"/>
                <w:szCs w:val="20"/>
              </w:rPr>
              <w:t>Partnership &amp; Shareholder</w:t>
            </w:r>
          </w:p>
          <w:p w14:paraId="389F0EDC" w14:textId="77777777" w:rsidR="00D053D0" w:rsidRDefault="00D053D0" w:rsidP="00D053D0">
            <w:pPr>
              <w:numPr>
                <w:ilvl w:val="0"/>
                <w:numId w:val="1"/>
              </w:numPr>
              <w:spacing w:after="120" w:line="360" w:lineRule="auto"/>
              <w:ind w:left="459" w:hanging="283"/>
              <w:rPr>
                <w:rFonts w:ascii="Humnst777 BT" w:hAnsi="Humnst777 BT"/>
                <w:sz w:val="20"/>
                <w:szCs w:val="20"/>
              </w:rPr>
            </w:pPr>
            <w:r w:rsidRPr="0080052C">
              <w:rPr>
                <w:rFonts w:ascii="Humnst777 BT" w:hAnsi="Humnst777 BT"/>
                <w:sz w:val="20"/>
                <w:szCs w:val="20"/>
              </w:rPr>
              <w:t>Professional Negligence</w:t>
            </w:r>
          </w:p>
          <w:p w14:paraId="4909DEC5" w14:textId="77777777" w:rsidR="00D053D0" w:rsidRPr="00907BD0" w:rsidRDefault="00D053D0" w:rsidP="00D053D0">
            <w:pPr>
              <w:numPr>
                <w:ilvl w:val="0"/>
                <w:numId w:val="1"/>
              </w:numPr>
              <w:spacing w:after="120" w:line="360" w:lineRule="auto"/>
              <w:ind w:left="459" w:hanging="283"/>
              <w:rPr>
                <w:rFonts w:ascii="Humnst777 BT" w:hAnsi="Humnst777 BT"/>
                <w:sz w:val="20"/>
                <w:szCs w:val="20"/>
              </w:rPr>
            </w:pPr>
            <w:r w:rsidRPr="0080052C">
              <w:rPr>
                <w:rFonts w:ascii="Humnst777 BT" w:hAnsi="Humnst777 BT"/>
                <w:sz w:val="20"/>
                <w:szCs w:val="20"/>
              </w:rPr>
              <w:t>Property</w:t>
            </w:r>
          </w:p>
        </w:tc>
        <w:tc>
          <w:tcPr>
            <w:tcW w:w="3203" w:type="dxa"/>
            <w:shd w:val="clear" w:color="auto" w:fill="auto"/>
          </w:tcPr>
          <w:p w14:paraId="1AB40509" w14:textId="77777777" w:rsidR="00D053D0" w:rsidRPr="0080052C" w:rsidRDefault="00D053D0" w:rsidP="00D053D0">
            <w:pPr>
              <w:numPr>
                <w:ilvl w:val="0"/>
                <w:numId w:val="1"/>
              </w:numPr>
              <w:spacing w:after="120" w:line="360" w:lineRule="auto"/>
              <w:ind w:left="317" w:hanging="283"/>
              <w:rPr>
                <w:rFonts w:ascii="Humnst777 BT" w:hAnsi="Humnst777 BT"/>
                <w:sz w:val="20"/>
                <w:szCs w:val="20"/>
              </w:rPr>
            </w:pPr>
            <w:r w:rsidRPr="0080052C">
              <w:rPr>
                <w:rFonts w:ascii="Humnst777 BT" w:hAnsi="Humnst777 BT"/>
                <w:sz w:val="20"/>
                <w:szCs w:val="20"/>
              </w:rPr>
              <w:t>Sale of Goods &amp; Services</w:t>
            </w:r>
          </w:p>
          <w:p w14:paraId="0731D91A" w14:textId="77777777" w:rsidR="00D053D0" w:rsidRDefault="00D053D0" w:rsidP="00D053D0">
            <w:pPr>
              <w:numPr>
                <w:ilvl w:val="0"/>
                <w:numId w:val="1"/>
              </w:numPr>
              <w:spacing w:after="120" w:line="360" w:lineRule="auto"/>
              <w:ind w:left="317" w:hanging="283"/>
              <w:rPr>
                <w:rFonts w:ascii="Humnst777 BT" w:hAnsi="Humnst777 BT"/>
                <w:sz w:val="20"/>
                <w:szCs w:val="20"/>
              </w:rPr>
            </w:pPr>
            <w:r w:rsidRPr="0080052C">
              <w:rPr>
                <w:rFonts w:ascii="Humnst777 BT" w:hAnsi="Humnst777 BT"/>
                <w:sz w:val="20"/>
                <w:szCs w:val="20"/>
              </w:rPr>
              <w:t xml:space="preserve">Sport </w:t>
            </w:r>
          </w:p>
          <w:p w14:paraId="1E628214" w14:textId="77777777" w:rsidR="00D053D0" w:rsidRPr="0080052C" w:rsidRDefault="00D053D0" w:rsidP="00D053D0">
            <w:pPr>
              <w:numPr>
                <w:ilvl w:val="0"/>
                <w:numId w:val="1"/>
              </w:numPr>
              <w:spacing w:after="120" w:line="360" w:lineRule="auto"/>
              <w:ind w:left="317" w:hanging="283"/>
              <w:rPr>
                <w:rFonts w:ascii="Humnst777 BT" w:hAnsi="Humnst777 BT"/>
                <w:sz w:val="20"/>
                <w:szCs w:val="20"/>
              </w:rPr>
            </w:pPr>
            <w:r w:rsidRPr="0080052C">
              <w:rPr>
                <w:rFonts w:ascii="Humnst777 BT" w:hAnsi="Humnst777 BT"/>
                <w:sz w:val="20"/>
                <w:szCs w:val="20"/>
              </w:rPr>
              <w:t>Trusts, Wills &amp; Probate</w:t>
            </w:r>
          </w:p>
          <w:p w14:paraId="4425059E" w14:textId="77777777" w:rsidR="00D053D0" w:rsidRPr="0080052C" w:rsidRDefault="00D053D0" w:rsidP="003470D5">
            <w:pPr>
              <w:spacing w:after="120" w:line="360" w:lineRule="auto"/>
              <w:ind w:left="453"/>
              <w:rPr>
                <w:rFonts w:ascii="Humnst777 BT" w:hAnsi="Humnst777 BT"/>
                <w:sz w:val="20"/>
                <w:szCs w:val="20"/>
              </w:rPr>
            </w:pPr>
          </w:p>
        </w:tc>
      </w:tr>
    </w:tbl>
    <w:p w14:paraId="74AE07C0" w14:textId="33337AC1" w:rsidR="00D053D0" w:rsidRPr="00B70EE6" w:rsidRDefault="00D053D0" w:rsidP="00D053D0">
      <w:pPr>
        <w:pStyle w:val="BodyText"/>
        <w:spacing w:after="120" w:line="360" w:lineRule="auto"/>
        <w:jc w:val="both"/>
        <w:rPr>
          <w:rFonts w:ascii="Humnst777 BT" w:hAnsi="Humnst777 BT"/>
          <w:b/>
          <w:bCs/>
          <w:color w:val="0070C0"/>
          <w:sz w:val="28"/>
          <w:szCs w:val="20"/>
        </w:rPr>
      </w:pPr>
      <w:r w:rsidRPr="00B70EE6">
        <w:rPr>
          <w:rFonts w:ascii="Humnst777 BT" w:hAnsi="Humnst777 BT"/>
          <w:b/>
          <w:bCs/>
          <w:color w:val="0070C0"/>
          <w:sz w:val="28"/>
          <w:szCs w:val="20"/>
        </w:rPr>
        <w:t>Dispute Experience</w:t>
      </w:r>
    </w:p>
    <w:p w14:paraId="536C4EA1" w14:textId="77777777" w:rsidR="00D053D0" w:rsidRPr="00907BD0" w:rsidRDefault="00D053D0" w:rsidP="00D053D0">
      <w:pPr>
        <w:spacing w:after="120" w:line="360" w:lineRule="auto"/>
        <w:rPr>
          <w:rFonts w:ascii="Humnst777 BT" w:hAnsi="Humnst777 BT"/>
          <w:i/>
          <w:color w:val="0070C0"/>
          <w:sz w:val="16"/>
          <w:szCs w:val="20"/>
        </w:rPr>
      </w:pPr>
      <w:r w:rsidRPr="00907BD0">
        <w:rPr>
          <w:rFonts w:ascii="Humnst777 BT" w:hAnsi="Humnst777 BT"/>
          <w:i/>
          <w:color w:val="0070C0"/>
          <w:sz w:val="16"/>
          <w:szCs w:val="20"/>
        </w:rPr>
        <w:lastRenderedPageBreak/>
        <w:t>(Non-Neutral work in italics)</w:t>
      </w:r>
    </w:p>
    <w:p w14:paraId="7D115651" w14:textId="77777777" w:rsidR="00D053D0" w:rsidRPr="0080052C" w:rsidRDefault="00D053D0" w:rsidP="00D053D0">
      <w:pPr>
        <w:spacing w:after="120" w:line="360" w:lineRule="auto"/>
        <w:rPr>
          <w:rFonts w:ascii="Humnst777 BT" w:hAnsi="Humnst777 BT"/>
          <w:sz w:val="20"/>
          <w:szCs w:val="20"/>
        </w:rPr>
      </w:pPr>
    </w:p>
    <w:p w14:paraId="1D296DD8" w14:textId="77777777" w:rsidR="00D053D0" w:rsidRPr="0080052C" w:rsidRDefault="00D053D0" w:rsidP="00D053D0">
      <w:pPr>
        <w:spacing w:after="120" w:line="360" w:lineRule="auto"/>
        <w:rPr>
          <w:rFonts w:ascii="Humnst777 BT" w:hAnsi="Humnst777 BT"/>
          <w:sz w:val="20"/>
          <w:szCs w:val="20"/>
        </w:rPr>
      </w:pPr>
      <w:r w:rsidRPr="0080052C">
        <w:rPr>
          <w:rFonts w:ascii="Humnst777 BT" w:hAnsi="Humnst777 BT"/>
          <w:b/>
          <w:color w:val="0070C0"/>
          <w:sz w:val="20"/>
          <w:szCs w:val="20"/>
        </w:rPr>
        <w:t>Aviation:</w:t>
      </w:r>
      <w:r w:rsidRPr="0080052C">
        <w:rPr>
          <w:rFonts w:ascii="Humnst777 BT" w:hAnsi="Humnst777 BT"/>
          <w:color w:val="0070C0"/>
          <w:sz w:val="20"/>
          <w:szCs w:val="20"/>
        </w:rPr>
        <w:t xml:space="preserve"> </w:t>
      </w:r>
      <w:r w:rsidRPr="0080052C">
        <w:rPr>
          <w:rFonts w:ascii="Humnst777 BT" w:hAnsi="Humnst777 BT"/>
          <w:sz w:val="20"/>
          <w:szCs w:val="20"/>
        </w:rPr>
        <w:t xml:space="preserve">Claim of unpaid fees for the maintenance of a general aviation aircraft. Annual inspection of the aircraft and repairs were carried out for which the owner claimed no authorisation had been given.  </w:t>
      </w:r>
    </w:p>
    <w:p w14:paraId="5967BA3B" w14:textId="77777777" w:rsidR="00D053D0" w:rsidRPr="0080052C" w:rsidRDefault="00D053D0" w:rsidP="00D053D0">
      <w:pPr>
        <w:spacing w:after="120" w:line="360" w:lineRule="auto"/>
        <w:rPr>
          <w:rFonts w:ascii="Humnst777 BT" w:hAnsi="Humnst777 BT"/>
          <w:b/>
          <w:sz w:val="20"/>
          <w:szCs w:val="20"/>
        </w:rPr>
      </w:pPr>
    </w:p>
    <w:p w14:paraId="7B603D33" w14:textId="77777777" w:rsidR="00D053D0" w:rsidRPr="0080052C" w:rsidRDefault="00D053D0" w:rsidP="00D053D0">
      <w:pPr>
        <w:spacing w:after="120" w:line="360" w:lineRule="auto"/>
        <w:rPr>
          <w:rFonts w:ascii="Humnst777 BT" w:hAnsi="Humnst777 BT"/>
          <w:b/>
          <w:color w:val="0070C0"/>
          <w:sz w:val="20"/>
          <w:szCs w:val="20"/>
        </w:rPr>
      </w:pPr>
      <w:r w:rsidRPr="0080052C">
        <w:rPr>
          <w:rFonts w:ascii="Humnst777 BT" w:hAnsi="Humnst777 BT"/>
          <w:b/>
          <w:color w:val="0070C0"/>
          <w:sz w:val="20"/>
          <w:szCs w:val="20"/>
        </w:rPr>
        <w:t>Commercial Contract</w:t>
      </w:r>
      <w:r>
        <w:rPr>
          <w:rFonts w:ascii="Humnst777 BT" w:hAnsi="Humnst777 BT"/>
          <w:b/>
          <w:color w:val="0070C0"/>
          <w:sz w:val="20"/>
          <w:szCs w:val="20"/>
        </w:rPr>
        <w:t>s</w:t>
      </w:r>
    </w:p>
    <w:p w14:paraId="3618D094" w14:textId="77777777" w:rsidR="00D053D0" w:rsidRDefault="00D053D0" w:rsidP="00D053D0">
      <w:pPr>
        <w:pStyle w:val="ListParagraph"/>
        <w:numPr>
          <w:ilvl w:val="0"/>
          <w:numId w:val="2"/>
        </w:numPr>
        <w:spacing w:after="120" w:line="360" w:lineRule="auto"/>
        <w:ind w:left="714" w:hanging="357"/>
        <w:contextualSpacing w:val="0"/>
        <w:rPr>
          <w:rFonts w:ascii="Humnst777 BT" w:hAnsi="Humnst777 BT"/>
          <w:sz w:val="20"/>
          <w:szCs w:val="20"/>
        </w:rPr>
      </w:pPr>
      <w:r>
        <w:rPr>
          <w:rFonts w:ascii="Humnst777 BT" w:hAnsi="Humnst777 BT"/>
          <w:sz w:val="20"/>
          <w:szCs w:val="20"/>
        </w:rPr>
        <w:t>Dispute concerning the Commercial Agency Regulations 1993 between an English principal and an agent based in Northern Ireland.</w:t>
      </w:r>
    </w:p>
    <w:p w14:paraId="4EF6AB9A" w14:textId="6822098F" w:rsidR="00597424" w:rsidRPr="00FF01F1" w:rsidRDefault="00024FA5" w:rsidP="00D053D0">
      <w:pPr>
        <w:pStyle w:val="ListParagraph"/>
        <w:numPr>
          <w:ilvl w:val="0"/>
          <w:numId w:val="2"/>
        </w:numPr>
        <w:spacing w:after="120" w:line="360" w:lineRule="auto"/>
        <w:ind w:left="714" w:hanging="357"/>
        <w:contextualSpacing w:val="0"/>
        <w:rPr>
          <w:rFonts w:ascii="Humnst777 BT" w:hAnsi="Humnst777 BT"/>
          <w:i/>
          <w:iCs/>
          <w:sz w:val="20"/>
          <w:szCs w:val="20"/>
        </w:rPr>
      </w:pPr>
      <w:r w:rsidRPr="00FF01F1">
        <w:rPr>
          <w:rFonts w:ascii="Humnst777 BT" w:hAnsi="Humnst777 BT"/>
          <w:i/>
          <w:iCs/>
          <w:sz w:val="20"/>
          <w:szCs w:val="20"/>
        </w:rPr>
        <w:t xml:space="preserve">Claim for summary judgment </w:t>
      </w:r>
      <w:r w:rsidR="00597424" w:rsidRPr="00FF01F1">
        <w:rPr>
          <w:rFonts w:ascii="Humnst777 BT" w:hAnsi="Humnst777 BT"/>
          <w:i/>
          <w:iCs/>
          <w:sz w:val="20"/>
          <w:szCs w:val="20"/>
        </w:rPr>
        <w:t xml:space="preserve">based on a credit </w:t>
      </w:r>
      <w:proofErr w:type="gramStart"/>
      <w:r w:rsidR="00597424" w:rsidRPr="00FF01F1">
        <w:rPr>
          <w:rFonts w:ascii="Humnst777 BT" w:hAnsi="Humnst777 BT"/>
          <w:i/>
          <w:iCs/>
          <w:sz w:val="20"/>
          <w:szCs w:val="20"/>
        </w:rPr>
        <w:t>guarantee</w:t>
      </w:r>
      <w:proofErr w:type="gramEnd"/>
    </w:p>
    <w:p w14:paraId="71068BC3" w14:textId="2F0E343C" w:rsidR="00D053D0" w:rsidRPr="0080052C" w:rsidRDefault="00D053D0" w:rsidP="00D053D0">
      <w:pPr>
        <w:pStyle w:val="ListParagraph"/>
        <w:numPr>
          <w:ilvl w:val="0"/>
          <w:numId w:val="2"/>
        </w:numPr>
        <w:spacing w:after="120" w:line="360" w:lineRule="auto"/>
        <w:ind w:left="714" w:hanging="357"/>
        <w:contextualSpacing w:val="0"/>
        <w:rPr>
          <w:rFonts w:ascii="Humnst777 BT" w:hAnsi="Humnst777 BT"/>
          <w:sz w:val="20"/>
          <w:szCs w:val="20"/>
        </w:rPr>
      </w:pPr>
      <w:r w:rsidRPr="0080052C">
        <w:rPr>
          <w:rFonts w:ascii="Humnst777 BT" w:hAnsi="Humnst777 BT"/>
          <w:sz w:val="20"/>
          <w:szCs w:val="20"/>
        </w:rPr>
        <w:t xml:space="preserve">Leasing dispute related to a minimum payment clause contained in an agreement for the service and maintenance of copying machines which was terminated prematurely. Customer contended the supplier was in breach of the contract by providing a machine that was not completely new and had misrepresented the ongoing cost, so that instead of saving money, it </w:t>
      </w:r>
      <w:proofErr w:type="gramStart"/>
      <w:r w:rsidRPr="0080052C">
        <w:rPr>
          <w:rFonts w:ascii="Humnst777 BT" w:hAnsi="Humnst777 BT"/>
          <w:sz w:val="20"/>
          <w:szCs w:val="20"/>
        </w:rPr>
        <w:t>actually cost</w:t>
      </w:r>
      <w:proofErr w:type="gramEnd"/>
      <w:r w:rsidRPr="0080052C">
        <w:rPr>
          <w:rFonts w:ascii="Humnst777 BT" w:hAnsi="Humnst777 BT"/>
          <w:sz w:val="20"/>
          <w:szCs w:val="20"/>
        </w:rPr>
        <w:t xml:space="preserve"> more.</w:t>
      </w:r>
    </w:p>
    <w:p w14:paraId="232CBB6A" w14:textId="77777777" w:rsidR="00D053D0" w:rsidRPr="0080052C" w:rsidRDefault="00D053D0" w:rsidP="00D053D0">
      <w:pPr>
        <w:pStyle w:val="ListParagraph"/>
        <w:numPr>
          <w:ilvl w:val="0"/>
          <w:numId w:val="2"/>
        </w:numPr>
        <w:spacing w:after="120" w:line="360" w:lineRule="auto"/>
        <w:ind w:left="714" w:hanging="357"/>
        <w:contextualSpacing w:val="0"/>
        <w:rPr>
          <w:rFonts w:ascii="Humnst777 BT" w:hAnsi="Humnst777 BT"/>
          <w:sz w:val="20"/>
          <w:szCs w:val="20"/>
        </w:rPr>
      </w:pPr>
      <w:r w:rsidRPr="0080052C">
        <w:rPr>
          <w:rFonts w:ascii="Humnst777 BT" w:hAnsi="Humnst777 BT"/>
          <w:sz w:val="20"/>
          <w:szCs w:val="20"/>
        </w:rPr>
        <w:t>Claim for commission by an agent for introducing the buyer of a hotel. The seller contended that the basis upon which the agent had calculated his commission was incorrect and that a smaller sum had been paid in satisfaction.</w:t>
      </w:r>
    </w:p>
    <w:p w14:paraId="061EA9DA" w14:textId="77777777" w:rsidR="00D053D0" w:rsidRPr="0080052C" w:rsidRDefault="00D053D0" w:rsidP="00D053D0">
      <w:pPr>
        <w:pStyle w:val="ListParagraph"/>
        <w:numPr>
          <w:ilvl w:val="0"/>
          <w:numId w:val="2"/>
        </w:numPr>
        <w:spacing w:after="120" w:line="360" w:lineRule="auto"/>
        <w:ind w:left="714" w:hanging="357"/>
        <w:contextualSpacing w:val="0"/>
        <w:rPr>
          <w:rFonts w:ascii="Humnst777 BT" w:hAnsi="Humnst777 BT"/>
          <w:sz w:val="20"/>
          <w:szCs w:val="20"/>
        </w:rPr>
      </w:pPr>
      <w:r w:rsidRPr="0080052C">
        <w:rPr>
          <w:rFonts w:ascii="Humnst777 BT" w:hAnsi="Humnst777 BT"/>
          <w:sz w:val="20"/>
          <w:szCs w:val="20"/>
        </w:rPr>
        <w:t>Claim by an executive search company for unpaid fees, including cancellation fees, arising out of a contract to fill several roles. The defendant contended that no part of the contract had been cancelled, the claimant was in breach of the contract and counterclaimed for return of some of the fees paid.</w:t>
      </w:r>
    </w:p>
    <w:p w14:paraId="6166C997" w14:textId="77777777" w:rsidR="00D053D0" w:rsidRPr="0080052C" w:rsidRDefault="00D053D0" w:rsidP="00D053D0">
      <w:pPr>
        <w:pStyle w:val="ListParagraph"/>
        <w:numPr>
          <w:ilvl w:val="0"/>
          <w:numId w:val="2"/>
        </w:numPr>
        <w:spacing w:after="120" w:line="360" w:lineRule="auto"/>
        <w:ind w:left="714" w:hanging="357"/>
        <w:contextualSpacing w:val="0"/>
        <w:rPr>
          <w:rFonts w:ascii="Humnst777 BT" w:hAnsi="Humnst777 BT"/>
          <w:sz w:val="20"/>
          <w:szCs w:val="20"/>
        </w:rPr>
      </w:pPr>
      <w:r w:rsidRPr="0080052C">
        <w:rPr>
          <w:rFonts w:ascii="Humnst777 BT" w:hAnsi="Humnst777 BT"/>
          <w:sz w:val="20"/>
          <w:szCs w:val="20"/>
        </w:rPr>
        <w:t>Estate agent’s commission dispute regarding the meaning and effect of a default provision where the vendor had withdrawn.</w:t>
      </w:r>
    </w:p>
    <w:p w14:paraId="3F5084F1" w14:textId="77777777" w:rsidR="00D053D0" w:rsidRPr="0080052C" w:rsidRDefault="00D053D0" w:rsidP="00D053D0">
      <w:pPr>
        <w:pStyle w:val="ListParagraph"/>
        <w:numPr>
          <w:ilvl w:val="0"/>
          <w:numId w:val="2"/>
        </w:numPr>
        <w:spacing w:after="120" w:line="360" w:lineRule="auto"/>
        <w:ind w:left="714" w:hanging="357"/>
        <w:contextualSpacing w:val="0"/>
        <w:rPr>
          <w:rFonts w:ascii="Humnst777 BT" w:hAnsi="Humnst777 BT"/>
          <w:sz w:val="20"/>
          <w:szCs w:val="20"/>
        </w:rPr>
      </w:pPr>
      <w:r w:rsidRPr="0080052C">
        <w:rPr>
          <w:rFonts w:ascii="Humnst777 BT" w:hAnsi="Humnst777 BT"/>
          <w:sz w:val="20"/>
          <w:szCs w:val="20"/>
        </w:rPr>
        <w:t>Whether money provided by a father to his daughter (who had died) was a loan or a gift</w:t>
      </w:r>
    </w:p>
    <w:p w14:paraId="0F08D849" w14:textId="77777777" w:rsidR="00D053D0" w:rsidRPr="0080052C" w:rsidRDefault="00D053D0" w:rsidP="00D053D0">
      <w:pPr>
        <w:pStyle w:val="ListParagraph"/>
        <w:numPr>
          <w:ilvl w:val="0"/>
          <w:numId w:val="2"/>
        </w:numPr>
        <w:spacing w:after="120" w:line="360" w:lineRule="auto"/>
        <w:ind w:left="714" w:hanging="357"/>
        <w:contextualSpacing w:val="0"/>
        <w:rPr>
          <w:rFonts w:ascii="Humnst777 BT" w:hAnsi="Humnst777 BT"/>
          <w:sz w:val="20"/>
          <w:szCs w:val="20"/>
        </w:rPr>
      </w:pPr>
      <w:r w:rsidRPr="0080052C">
        <w:rPr>
          <w:rFonts w:ascii="Humnst777 BT" w:hAnsi="Humnst777 BT"/>
          <w:sz w:val="20"/>
          <w:szCs w:val="20"/>
        </w:rPr>
        <w:t>Outstanding fees on invoices for plumbing services.</w:t>
      </w:r>
    </w:p>
    <w:p w14:paraId="615E2DFA" w14:textId="77777777" w:rsidR="00D053D0" w:rsidRPr="0080052C" w:rsidRDefault="00D053D0" w:rsidP="00D053D0">
      <w:pPr>
        <w:pStyle w:val="ListParagraph"/>
        <w:numPr>
          <w:ilvl w:val="0"/>
          <w:numId w:val="2"/>
        </w:numPr>
        <w:spacing w:after="120" w:line="360" w:lineRule="auto"/>
        <w:ind w:left="714" w:hanging="357"/>
        <w:contextualSpacing w:val="0"/>
        <w:rPr>
          <w:rFonts w:ascii="Humnst777 BT" w:hAnsi="Humnst777 BT"/>
          <w:sz w:val="20"/>
          <w:szCs w:val="20"/>
        </w:rPr>
      </w:pPr>
      <w:r w:rsidRPr="0080052C">
        <w:rPr>
          <w:rFonts w:ascii="Humnst777 BT" w:hAnsi="Humnst777 BT"/>
          <w:sz w:val="20"/>
          <w:szCs w:val="20"/>
        </w:rPr>
        <w:t>Dispute between solicitors A and B. When A ceased trading, several of his publicly funded files were transferred to B. A contended that B had failed to get the costs due to A on those files paid within a reasonable time.</w:t>
      </w:r>
    </w:p>
    <w:p w14:paraId="7516B844" w14:textId="77777777" w:rsidR="00D053D0" w:rsidRPr="0080052C" w:rsidRDefault="00D053D0" w:rsidP="00D053D0">
      <w:pPr>
        <w:pStyle w:val="ListParagraph"/>
        <w:numPr>
          <w:ilvl w:val="0"/>
          <w:numId w:val="2"/>
        </w:numPr>
        <w:spacing w:after="120" w:line="360" w:lineRule="auto"/>
        <w:ind w:left="714" w:hanging="357"/>
        <w:contextualSpacing w:val="0"/>
        <w:rPr>
          <w:rFonts w:ascii="Humnst777 BT" w:hAnsi="Humnst777 BT"/>
          <w:sz w:val="20"/>
          <w:szCs w:val="20"/>
        </w:rPr>
      </w:pPr>
      <w:r w:rsidRPr="0080052C">
        <w:rPr>
          <w:rFonts w:ascii="Humnst777 BT" w:hAnsi="Humnst777 BT"/>
          <w:sz w:val="20"/>
          <w:szCs w:val="20"/>
        </w:rPr>
        <w:t xml:space="preserve">Dispute concerning unpaid gas and electricity bills for commercial premises. </w:t>
      </w:r>
    </w:p>
    <w:p w14:paraId="03A810DA" w14:textId="77777777" w:rsidR="00D053D0" w:rsidRPr="0080052C" w:rsidRDefault="00D053D0" w:rsidP="00D053D0">
      <w:pPr>
        <w:pStyle w:val="ListParagraph"/>
        <w:numPr>
          <w:ilvl w:val="0"/>
          <w:numId w:val="2"/>
        </w:numPr>
        <w:spacing w:after="120" w:line="360" w:lineRule="auto"/>
        <w:ind w:left="714" w:hanging="357"/>
        <w:contextualSpacing w:val="0"/>
        <w:rPr>
          <w:rFonts w:ascii="Humnst777 BT" w:hAnsi="Humnst777 BT"/>
          <w:sz w:val="20"/>
          <w:szCs w:val="20"/>
        </w:rPr>
      </w:pPr>
      <w:r w:rsidRPr="0080052C">
        <w:rPr>
          <w:rFonts w:ascii="Humnst777 BT" w:hAnsi="Humnst777 BT"/>
          <w:sz w:val="20"/>
          <w:szCs w:val="20"/>
        </w:rPr>
        <w:t>Whether a second- hand performance car was fit for purpose and of satisfactory quality and whether the defendant dealer had made negligent misrepresentations about it.</w:t>
      </w:r>
    </w:p>
    <w:p w14:paraId="619B3051" w14:textId="7E531BAE" w:rsidR="00D053D0" w:rsidRPr="0080052C" w:rsidRDefault="00D053D0" w:rsidP="00D053D0">
      <w:pPr>
        <w:pStyle w:val="ListParagraph"/>
        <w:numPr>
          <w:ilvl w:val="0"/>
          <w:numId w:val="2"/>
        </w:numPr>
        <w:spacing w:after="120" w:line="360" w:lineRule="auto"/>
        <w:ind w:left="714" w:hanging="357"/>
        <w:contextualSpacing w:val="0"/>
        <w:rPr>
          <w:rFonts w:ascii="Humnst777 BT" w:hAnsi="Humnst777 BT"/>
          <w:i/>
          <w:sz w:val="20"/>
          <w:szCs w:val="20"/>
        </w:rPr>
      </w:pPr>
      <w:r w:rsidRPr="0080052C">
        <w:rPr>
          <w:rFonts w:ascii="Humnst777 BT" w:hAnsi="Humnst777 BT"/>
          <w:i/>
          <w:sz w:val="20"/>
          <w:szCs w:val="20"/>
        </w:rPr>
        <w:t>ICC arbitration concerning whether a shipment of prawns from India to the UK was of satisfactory quality and fit for its purpose</w:t>
      </w:r>
      <w:r>
        <w:rPr>
          <w:rFonts w:ascii="Humnst777 BT" w:hAnsi="Humnst777 BT"/>
          <w:i/>
          <w:sz w:val="20"/>
          <w:szCs w:val="20"/>
        </w:rPr>
        <w:t>.</w:t>
      </w:r>
      <w:r w:rsidRPr="0080052C">
        <w:rPr>
          <w:rFonts w:ascii="Humnst777 BT" w:hAnsi="Humnst777 BT"/>
          <w:i/>
          <w:sz w:val="20"/>
          <w:szCs w:val="20"/>
        </w:rPr>
        <w:t xml:space="preserve"> </w:t>
      </w:r>
    </w:p>
    <w:p w14:paraId="19998B50" w14:textId="77777777" w:rsidR="00D053D0" w:rsidRPr="0080052C" w:rsidRDefault="00D053D0" w:rsidP="00D053D0">
      <w:pPr>
        <w:pStyle w:val="ListParagraph"/>
        <w:numPr>
          <w:ilvl w:val="0"/>
          <w:numId w:val="2"/>
        </w:numPr>
        <w:spacing w:after="120" w:line="360" w:lineRule="auto"/>
        <w:ind w:left="714" w:hanging="357"/>
        <w:contextualSpacing w:val="0"/>
        <w:rPr>
          <w:rFonts w:ascii="Humnst777 BT" w:hAnsi="Humnst777 BT"/>
          <w:i/>
          <w:sz w:val="20"/>
          <w:szCs w:val="20"/>
        </w:rPr>
      </w:pPr>
      <w:r w:rsidRPr="0080052C">
        <w:rPr>
          <w:rFonts w:ascii="Humnst777 BT" w:hAnsi="Humnst777 BT"/>
          <w:i/>
          <w:sz w:val="20"/>
          <w:szCs w:val="20"/>
        </w:rPr>
        <w:t>Appeared for the successful claimants in the trial of a preliminary issue to determine whether they made the contract to sell their business to the defendant or the defendant’s company, which had gone into liquidation.</w:t>
      </w:r>
    </w:p>
    <w:p w14:paraId="32824784" w14:textId="77777777" w:rsidR="00D053D0" w:rsidRPr="0080052C" w:rsidRDefault="00D053D0" w:rsidP="00D053D0">
      <w:pPr>
        <w:pStyle w:val="ListParagraph"/>
        <w:numPr>
          <w:ilvl w:val="0"/>
          <w:numId w:val="2"/>
        </w:numPr>
        <w:spacing w:after="120" w:line="360" w:lineRule="auto"/>
        <w:ind w:left="714" w:hanging="357"/>
        <w:contextualSpacing w:val="0"/>
        <w:rPr>
          <w:rFonts w:ascii="Humnst777 BT" w:hAnsi="Humnst777 BT"/>
          <w:i/>
          <w:sz w:val="20"/>
          <w:szCs w:val="20"/>
        </w:rPr>
      </w:pPr>
      <w:r w:rsidRPr="0080052C">
        <w:rPr>
          <w:rFonts w:ascii="Humnst777 BT" w:hAnsi="Humnst777 BT"/>
          <w:i/>
          <w:sz w:val="20"/>
          <w:szCs w:val="20"/>
        </w:rPr>
        <w:lastRenderedPageBreak/>
        <w:t>In appropriate circumstances the court could make a freezing injunction to support or assist with the operation of the rules relating to security for costs.</w:t>
      </w:r>
    </w:p>
    <w:p w14:paraId="4AFE696C" w14:textId="77777777" w:rsidR="00D053D0" w:rsidRPr="0080052C" w:rsidRDefault="00D053D0" w:rsidP="00D053D0">
      <w:pPr>
        <w:pStyle w:val="ListParagraph"/>
        <w:numPr>
          <w:ilvl w:val="0"/>
          <w:numId w:val="2"/>
        </w:numPr>
        <w:spacing w:after="120" w:line="360" w:lineRule="auto"/>
        <w:ind w:left="714" w:hanging="357"/>
        <w:contextualSpacing w:val="0"/>
        <w:rPr>
          <w:rFonts w:ascii="Humnst777 BT" w:hAnsi="Humnst777 BT"/>
          <w:i/>
          <w:sz w:val="20"/>
          <w:szCs w:val="20"/>
        </w:rPr>
      </w:pPr>
      <w:r w:rsidRPr="0080052C">
        <w:rPr>
          <w:rFonts w:ascii="Humnst777 BT" w:hAnsi="Humnst777 BT"/>
          <w:color w:val="000000" w:themeColor="text1"/>
          <w:sz w:val="20"/>
          <w:szCs w:val="20"/>
        </w:rPr>
        <w:t>Dispute between an IT company and a public authority regarding the fitness for purpose and quality of an HR and payroll system.</w:t>
      </w:r>
    </w:p>
    <w:p w14:paraId="1D1F1F3D" w14:textId="77777777" w:rsidR="00D053D0" w:rsidRPr="0080052C" w:rsidRDefault="00D053D0" w:rsidP="00D053D0">
      <w:pPr>
        <w:pStyle w:val="ListParagraph"/>
        <w:numPr>
          <w:ilvl w:val="0"/>
          <w:numId w:val="2"/>
        </w:numPr>
        <w:spacing w:after="120" w:line="360" w:lineRule="auto"/>
        <w:contextualSpacing w:val="0"/>
        <w:rPr>
          <w:rFonts w:ascii="Humnst777 BT" w:hAnsi="Humnst777 BT"/>
          <w:b/>
          <w:color w:val="000000" w:themeColor="text1"/>
          <w:sz w:val="20"/>
          <w:szCs w:val="20"/>
        </w:rPr>
      </w:pPr>
      <w:r w:rsidRPr="0080052C">
        <w:rPr>
          <w:rFonts w:ascii="Humnst777 BT" w:hAnsi="Humnst777 BT"/>
          <w:color w:val="000000" w:themeColor="text1"/>
          <w:sz w:val="20"/>
          <w:szCs w:val="20"/>
        </w:rPr>
        <w:t xml:space="preserve">Dispute concerning whether transfers of funds over a period of years were loans or payments for services. </w:t>
      </w:r>
    </w:p>
    <w:p w14:paraId="4DFE3A2E" w14:textId="77777777" w:rsidR="00D053D0" w:rsidRPr="0080052C" w:rsidRDefault="00D053D0" w:rsidP="00D053D0">
      <w:pPr>
        <w:pStyle w:val="ListParagraph"/>
        <w:spacing w:after="120" w:line="360" w:lineRule="auto"/>
        <w:contextualSpacing w:val="0"/>
        <w:rPr>
          <w:rFonts w:ascii="Humnst777 BT" w:hAnsi="Humnst777 BT"/>
          <w:b/>
          <w:sz w:val="20"/>
          <w:szCs w:val="20"/>
        </w:rPr>
      </w:pPr>
    </w:p>
    <w:p w14:paraId="2D0ADA71" w14:textId="77777777" w:rsidR="00D053D0" w:rsidRPr="0080052C" w:rsidRDefault="00D053D0" w:rsidP="00D053D0">
      <w:pPr>
        <w:spacing w:after="120" w:line="360" w:lineRule="auto"/>
        <w:rPr>
          <w:rFonts w:ascii="Humnst777 BT" w:hAnsi="Humnst777 BT"/>
          <w:b/>
          <w:color w:val="0070C0"/>
          <w:sz w:val="20"/>
          <w:szCs w:val="20"/>
        </w:rPr>
      </w:pPr>
      <w:r w:rsidRPr="0080052C">
        <w:rPr>
          <w:rFonts w:ascii="Humnst777 BT" w:hAnsi="Humnst777 BT"/>
          <w:b/>
          <w:color w:val="0070C0"/>
          <w:sz w:val="20"/>
          <w:szCs w:val="20"/>
        </w:rPr>
        <w:t>Construction &amp; Engineering</w:t>
      </w:r>
    </w:p>
    <w:p w14:paraId="146AF1D4" w14:textId="77777777" w:rsidR="00D053D0" w:rsidRPr="0080052C" w:rsidRDefault="00D053D0" w:rsidP="00D053D0">
      <w:pPr>
        <w:pStyle w:val="ListParagraph"/>
        <w:numPr>
          <w:ilvl w:val="0"/>
          <w:numId w:val="6"/>
        </w:numPr>
        <w:spacing w:after="120" w:line="360" w:lineRule="auto"/>
        <w:contextualSpacing w:val="0"/>
        <w:rPr>
          <w:rFonts w:ascii="Humnst777 BT" w:hAnsi="Humnst777 BT"/>
          <w:sz w:val="20"/>
          <w:szCs w:val="20"/>
        </w:rPr>
      </w:pPr>
      <w:r w:rsidRPr="0080052C">
        <w:rPr>
          <w:rFonts w:ascii="Humnst777 BT" w:hAnsi="Humnst777 BT"/>
          <w:sz w:val="20"/>
          <w:szCs w:val="20"/>
        </w:rPr>
        <w:t>Domestic building contract which included the building of a flat roof that leaked.</w:t>
      </w:r>
    </w:p>
    <w:p w14:paraId="65CBFE25" w14:textId="77777777" w:rsidR="00D053D0" w:rsidRPr="0080052C" w:rsidRDefault="00D053D0" w:rsidP="00D053D0">
      <w:pPr>
        <w:pStyle w:val="ListParagraph"/>
        <w:numPr>
          <w:ilvl w:val="0"/>
          <w:numId w:val="6"/>
        </w:numPr>
        <w:spacing w:after="120" w:line="360" w:lineRule="auto"/>
        <w:contextualSpacing w:val="0"/>
        <w:rPr>
          <w:rFonts w:ascii="Humnst777 BT" w:hAnsi="Humnst777 BT"/>
          <w:i/>
          <w:sz w:val="20"/>
          <w:szCs w:val="20"/>
        </w:rPr>
      </w:pPr>
      <w:r w:rsidRPr="0080052C">
        <w:rPr>
          <w:rFonts w:ascii="Humnst777 BT" w:hAnsi="Humnst777 BT"/>
          <w:i/>
          <w:sz w:val="20"/>
          <w:szCs w:val="20"/>
        </w:rPr>
        <w:t>Domestic building contract concerning the construction of a defective conservatory</w:t>
      </w:r>
      <w:r>
        <w:rPr>
          <w:rFonts w:ascii="Humnst777 BT" w:hAnsi="Humnst777 BT"/>
          <w:i/>
          <w:sz w:val="20"/>
          <w:szCs w:val="20"/>
        </w:rPr>
        <w:t>.</w:t>
      </w:r>
    </w:p>
    <w:p w14:paraId="5DE1D11E" w14:textId="77777777" w:rsidR="00D053D0" w:rsidRPr="0080052C" w:rsidRDefault="00D053D0" w:rsidP="00D053D0">
      <w:pPr>
        <w:spacing w:after="120" w:line="360" w:lineRule="auto"/>
        <w:rPr>
          <w:rFonts w:ascii="Humnst777 BT" w:hAnsi="Humnst777 BT"/>
          <w:b/>
          <w:sz w:val="20"/>
          <w:szCs w:val="20"/>
        </w:rPr>
      </w:pPr>
    </w:p>
    <w:p w14:paraId="3B205985" w14:textId="77777777" w:rsidR="00D053D0" w:rsidRPr="0080052C" w:rsidRDefault="00D053D0" w:rsidP="00D053D0">
      <w:pPr>
        <w:spacing w:after="120" w:line="360" w:lineRule="auto"/>
        <w:rPr>
          <w:rFonts w:ascii="Humnst777 BT" w:hAnsi="Humnst777 BT"/>
          <w:b/>
          <w:color w:val="0070C0"/>
          <w:sz w:val="20"/>
          <w:szCs w:val="20"/>
        </w:rPr>
      </w:pPr>
      <w:r w:rsidRPr="0080052C">
        <w:rPr>
          <w:rFonts w:ascii="Humnst777 BT" w:hAnsi="Humnst777 BT"/>
          <w:b/>
          <w:color w:val="0070C0"/>
          <w:sz w:val="20"/>
          <w:szCs w:val="20"/>
        </w:rPr>
        <w:t>Insolvency</w:t>
      </w:r>
    </w:p>
    <w:p w14:paraId="63171330" w14:textId="77777777" w:rsidR="00D053D0" w:rsidRPr="0080052C" w:rsidRDefault="00D053D0" w:rsidP="00D053D0">
      <w:pPr>
        <w:pStyle w:val="ListParagraph"/>
        <w:numPr>
          <w:ilvl w:val="0"/>
          <w:numId w:val="2"/>
        </w:numPr>
        <w:spacing w:after="120" w:line="360" w:lineRule="auto"/>
        <w:ind w:left="714" w:hanging="357"/>
        <w:contextualSpacing w:val="0"/>
        <w:rPr>
          <w:rFonts w:ascii="Humnst777 BT" w:hAnsi="Humnst777 BT"/>
          <w:i/>
          <w:sz w:val="20"/>
          <w:szCs w:val="20"/>
        </w:rPr>
      </w:pPr>
      <w:r w:rsidRPr="0080052C">
        <w:rPr>
          <w:rFonts w:ascii="Humnst777 BT" w:hAnsi="Humnst777 BT"/>
          <w:i/>
          <w:sz w:val="20"/>
          <w:szCs w:val="20"/>
        </w:rPr>
        <w:t>It was not appropriate to make an interim order under the Insolvency Act 1986 s.252 to enable a debtor facing a bankruptcy petition to put a proposal for a voluntary arrangement to the creditors where the terms of the voluntary arrangement were purely speculative and without substance such that they could not be seriously considered by the creditors</w:t>
      </w:r>
      <w:r>
        <w:rPr>
          <w:rFonts w:ascii="Humnst777 BT" w:hAnsi="Humnst777 BT"/>
          <w:i/>
          <w:sz w:val="20"/>
          <w:szCs w:val="20"/>
        </w:rPr>
        <w:t>.</w:t>
      </w:r>
    </w:p>
    <w:p w14:paraId="07480A68" w14:textId="77777777" w:rsidR="00D053D0" w:rsidRPr="0080052C" w:rsidRDefault="00D053D0" w:rsidP="00D053D0">
      <w:pPr>
        <w:pStyle w:val="ListParagraph"/>
        <w:numPr>
          <w:ilvl w:val="0"/>
          <w:numId w:val="2"/>
        </w:numPr>
        <w:spacing w:after="120" w:line="360" w:lineRule="auto"/>
        <w:ind w:left="714" w:hanging="357"/>
        <w:contextualSpacing w:val="0"/>
        <w:rPr>
          <w:rFonts w:ascii="Humnst777 BT" w:hAnsi="Humnst777 BT"/>
          <w:i/>
          <w:sz w:val="20"/>
          <w:szCs w:val="20"/>
        </w:rPr>
      </w:pPr>
      <w:r w:rsidRPr="0080052C">
        <w:rPr>
          <w:rFonts w:ascii="Humnst777 BT" w:hAnsi="Humnst777 BT"/>
          <w:i/>
          <w:sz w:val="20"/>
          <w:szCs w:val="20"/>
        </w:rPr>
        <w:t>A judge had not erred in making an order for costs personally against a director in connection with a renewed application for security for costs made in proceedings commenced by his insolvent company.  The costs of the renewed application were entirely due to the director’s failure to make full and frank disclosure of personal assets in his witness statement produced at the original security for costs hearing, as a result of which the court had been misled.</w:t>
      </w:r>
    </w:p>
    <w:p w14:paraId="71C3F5D2" w14:textId="77777777" w:rsidR="00D053D0" w:rsidRPr="0080052C" w:rsidRDefault="00D053D0" w:rsidP="00D053D0">
      <w:pPr>
        <w:spacing w:after="120" w:line="360" w:lineRule="auto"/>
        <w:rPr>
          <w:rFonts w:ascii="Humnst777 BT" w:hAnsi="Humnst777 BT"/>
          <w:b/>
          <w:sz w:val="20"/>
          <w:szCs w:val="20"/>
        </w:rPr>
      </w:pPr>
    </w:p>
    <w:p w14:paraId="6E7C6DB2" w14:textId="77777777" w:rsidR="005E335E" w:rsidRDefault="00D053D0" w:rsidP="00D053D0">
      <w:pPr>
        <w:spacing w:after="120" w:line="360" w:lineRule="auto"/>
        <w:rPr>
          <w:rFonts w:ascii="Humnst777 BT" w:hAnsi="Humnst777 BT"/>
          <w:b/>
          <w:color w:val="0070C0"/>
          <w:sz w:val="20"/>
          <w:szCs w:val="20"/>
        </w:rPr>
      </w:pPr>
      <w:r w:rsidRPr="0080052C">
        <w:rPr>
          <w:rFonts w:ascii="Humnst777 BT" w:hAnsi="Humnst777 BT"/>
          <w:b/>
          <w:color w:val="0070C0"/>
          <w:sz w:val="20"/>
          <w:szCs w:val="20"/>
        </w:rPr>
        <w:t xml:space="preserve">Media &amp; Entertainment: </w:t>
      </w:r>
    </w:p>
    <w:p w14:paraId="3D72FF3D" w14:textId="543B52F1" w:rsidR="00D662C6" w:rsidRPr="0081790E" w:rsidRDefault="00D053D0" w:rsidP="0081790E">
      <w:pPr>
        <w:pStyle w:val="ListParagraph"/>
        <w:numPr>
          <w:ilvl w:val="0"/>
          <w:numId w:val="9"/>
        </w:numPr>
        <w:spacing w:after="120" w:line="360" w:lineRule="auto"/>
        <w:rPr>
          <w:rFonts w:ascii="Humnst777 BT" w:hAnsi="Humnst777 BT"/>
          <w:b/>
          <w:sz w:val="20"/>
          <w:szCs w:val="20"/>
        </w:rPr>
      </w:pPr>
      <w:r w:rsidRPr="005E335E">
        <w:rPr>
          <w:rFonts w:ascii="Humnst777 BT" w:hAnsi="Humnst777 BT"/>
          <w:i/>
          <w:sz w:val="20"/>
          <w:szCs w:val="20"/>
        </w:rPr>
        <w:t>Representing a former model in dispute with her manager.</w:t>
      </w:r>
    </w:p>
    <w:p w14:paraId="6F3D7059" w14:textId="77777777" w:rsidR="00D053D0" w:rsidRDefault="00D053D0" w:rsidP="00D053D0">
      <w:pPr>
        <w:spacing w:after="120" w:line="360" w:lineRule="auto"/>
        <w:rPr>
          <w:rFonts w:ascii="Humnst777 BT" w:hAnsi="Humnst777 BT"/>
          <w:b/>
          <w:color w:val="0070C0"/>
          <w:sz w:val="20"/>
          <w:szCs w:val="20"/>
        </w:rPr>
      </w:pPr>
    </w:p>
    <w:p w14:paraId="230BF680" w14:textId="77777777" w:rsidR="00D053D0" w:rsidRPr="0080052C" w:rsidRDefault="00D053D0" w:rsidP="00D053D0">
      <w:pPr>
        <w:spacing w:after="120" w:line="360" w:lineRule="auto"/>
        <w:rPr>
          <w:rFonts w:ascii="Humnst777 BT" w:hAnsi="Humnst777 BT"/>
          <w:b/>
          <w:color w:val="0070C0"/>
          <w:sz w:val="20"/>
          <w:szCs w:val="20"/>
        </w:rPr>
      </w:pPr>
      <w:r w:rsidRPr="0080052C">
        <w:rPr>
          <w:rFonts w:ascii="Humnst777 BT" w:hAnsi="Humnst777 BT"/>
          <w:b/>
          <w:color w:val="0070C0"/>
          <w:sz w:val="20"/>
          <w:szCs w:val="20"/>
        </w:rPr>
        <w:t>Partnership</w:t>
      </w:r>
      <w:r>
        <w:rPr>
          <w:rFonts w:ascii="Humnst777 BT" w:hAnsi="Humnst777 BT"/>
          <w:b/>
          <w:color w:val="0070C0"/>
          <w:sz w:val="20"/>
          <w:szCs w:val="20"/>
        </w:rPr>
        <w:t xml:space="preserve"> &amp; </w:t>
      </w:r>
      <w:r w:rsidRPr="0080052C">
        <w:rPr>
          <w:rFonts w:ascii="Humnst777 BT" w:hAnsi="Humnst777 BT"/>
          <w:b/>
          <w:color w:val="0070C0"/>
          <w:sz w:val="20"/>
          <w:szCs w:val="20"/>
        </w:rPr>
        <w:t>Shareholder</w:t>
      </w:r>
    </w:p>
    <w:p w14:paraId="1CFC6332" w14:textId="77777777" w:rsidR="00D053D0" w:rsidRPr="0080052C" w:rsidRDefault="00D053D0" w:rsidP="00D053D0">
      <w:pPr>
        <w:pStyle w:val="ListParagraph"/>
        <w:numPr>
          <w:ilvl w:val="0"/>
          <w:numId w:val="5"/>
        </w:numPr>
        <w:spacing w:after="120" w:line="360" w:lineRule="auto"/>
        <w:contextualSpacing w:val="0"/>
        <w:rPr>
          <w:rFonts w:ascii="Humnst777 BT" w:hAnsi="Humnst777 BT"/>
          <w:i/>
          <w:sz w:val="20"/>
          <w:szCs w:val="20"/>
        </w:rPr>
      </w:pPr>
      <w:r w:rsidRPr="0080052C">
        <w:rPr>
          <w:rFonts w:ascii="Humnst777 BT" w:hAnsi="Humnst777 BT"/>
          <w:i/>
          <w:sz w:val="20"/>
          <w:szCs w:val="20"/>
        </w:rPr>
        <w:t>Partnership dispute concerning a GP’s practice.</w:t>
      </w:r>
    </w:p>
    <w:p w14:paraId="19762EB6" w14:textId="77777777" w:rsidR="00D053D0" w:rsidRPr="0080052C" w:rsidRDefault="00D053D0" w:rsidP="00D053D0">
      <w:pPr>
        <w:pStyle w:val="ListParagraph"/>
        <w:numPr>
          <w:ilvl w:val="0"/>
          <w:numId w:val="5"/>
        </w:numPr>
        <w:spacing w:after="120" w:line="360" w:lineRule="auto"/>
        <w:contextualSpacing w:val="0"/>
        <w:rPr>
          <w:rFonts w:ascii="Humnst777 BT" w:hAnsi="Humnst777 BT"/>
          <w:i/>
          <w:sz w:val="20"/>
          <w:szCs w:val="20"/>
        </w:rPr>
      </w:pPr>
      <w:r w:rsidRPr="0080052C">
        <w:rPr>
          <w:rFonts w:ascii="Humnst777 BT" w:hAnsi="Humnst777 BT"/>
          <w:i/>
          <w:sz w:val="20"/>
          <w:szCs w:val="20"/>
        </w:rPr>
        <w:t>In the absence of express authority on the point, a respondent’s right to apply to strike out, on the grounds of lack of authority, a petition brought pursuant to the Companies Act 1985 s.459 alleging unfairly prejudicial conduct would not be lost simply because the respondent had delayed in making the application. While applications to strike out should be made as promptly as possible, it was not sensible to disregard the possibility of saving the time and cost involved in a trial merely to punish the respondent for tardiness.</w:t>
      </w:r>
    </w:p>
    <w:p w14:paraId="65EAC2C6" w14:textId="77777777" w:rsidR="00D053D0" w:rsidRDefault="00D053D0" w:rsidP="00D053D0">
      <w:pPr>
        <w:pStyle w:val="ListParagraph"/>
        <w:numPr>
          <w:ilvl w:val="0"/>
          <w:numId w:val="5"/>
        </w:numPr>
        <w:spacing w:after="120" w:line="360" w:lineRule="auto"/>
        <w:contextualSpacing w:val="0"/>
        <w:rPr>
          <w:rFonts w:ascii="Humnst777 BT" w:hAnsi="Humnst777 BT"/>
          <w:i/>
          <w:sz w:val="20"/>
          <w:szCs w:val="20"/>
        </w:rPr>
      </w:pPr>
      <w:r w:rsidRPr="0080052C">
        <w:rPr>
          <w:rFonts w:ascii="Humnst777 BT" w:hAnsi="Humnst777 BT"/>
          <w:i/>
          <w:sz w:val="20"/>
          <w:szCs w:val="20"/>
        </w:rPr>
        <w:lastRenderedPageBreak/>
        <w:t xml:space="preserve">Partnership dispute concerning a restaurant. </w:t>
      </w:r>
    </w:p>
    <w:p w14:paraId="7A3F0AC8" w14:textId="54B3E5EB" w:rsidR="00D053D0" w:rsidRDefault="00D053D0" w:rsidP="00D053D0">
      <w:pPr>
        <w:pStyle w:val="ListParagraph"/>
        <w:numPr>
          <w:ilvl w:val="0"/>
          <w:numId w:val="5"/>
        </w:numPr>
        <w:spacing w:after="120" w:line="360" w:lineRule="auto"/>
        <w:contextualSpacing w:val="0"/>
        <w:rPr>
          <w:rFonts w:ascii="Humnst777 BT" w:hAnsi="Humnst777 BT"/>
          <w:sz w:val="20"/>
          <w:szCs w:val="20"/>
        </w:rPr>
      </w:pPr>
      <w:r w:rsidRPr="007C1E21">
        <w:rPr>
          <w:rFonts w:ascii="Humnst777 BT" w:hAnsi="Humnst777 BT"/>
          <w:sz w:val="20"/>
          <w:szCs w:val="20"/>
        </w:rPr>
        <w:t>High value partnership dispute between two property investors.</w:t>
      </w:r>
    </w:p>
    <w:p w14:paraId="14883CD1" w14:textId="7012125F" w:rsidR="00A76DC4" w:rsidRPr="00D1724C" w:rsidRDefault="00D1724C" w:rsidP="00D053D0">
      <w:pPr>
        <w:pStyle w:val="ListParagraph"/>
        <w:numPr>
          <w:ilvl w:val="0"/>
          <w:numId w:val="5"/>
        </w:numPr>
        <w:spacing w:after="120" w:line="360" w:lineRule="auto"/>
        <w:contextualSpacing w:val="0"/>
        <w:rPr>
          <w:rFonts w:ascii="Humnst777 BT" w:hAnsi="Humnst777 BT"/>
          <w:sz w:val="20"/>
          <w:szCs w:val="20"/>
        </w:rPr>
      </w:pPr>
      <w:r w:rsidRPr="00D1724C">
        <w:rPr>
          <w:rFonts w:ascii="Humnst777 BT" w:hAnsi="Humnst777 BT"/>
          <w:sz w:val="20"/>
          <w:szCs w:val="20"/>
        </w:rPr>
        <w:t>S. 994 unfair prejudice to minority shareholder</w:t>
      </w:r>
    </w:p>
    <w:p w14:paraId="5F8D873A" w14:textId="77777777" w:rsidR="00D053D0" w:rsidRDefault="00D053D0" w:rsidP="00D053D0">
      <w:pPr>
        <w:spacing w:after="120" w:line="360" w:lineRule="auto"/>
        <w:rPr>
          <w:rFonts w:ascii="Humnst777 BT" w:hAnsi="Humnst777 BT"/>
          <w:b/>
          <w:color w:val="0070C0"/>
          <w:sz w:val="20"/>
          <w:szCs w:val="20"/>
        </w:rPr>
      </w:pPr>
    </w:p>
    <w:p w14:paraId="53899D8D" w14:textId="77777777" w:rsidR="00D053D0" w:rsidRPr="0080052C" w:rsidRDefault="00D053D0" w:rsidP="00D053D0">
      <w:pPr>
        <w:spacing w:after="120" w:line="360" w:lineRule="auto"/>
        <w:rPr>
          <w:rFonts w:ascii="Humnst777 BT" w:hAnsi="Humnst777 BT"/>
          <w:b/>
          <w:color w:val="0070C0"/>
          <w:sz w:val="20"/>
          <w:szCs w:val="20"/>
        </w:rPr>
      </w:pPr>
      <w:r w:rsidRPr="0080052C">
        <w:rPr>
          <w:rFonts w:ascii="Humnst777 BT" w:hAnsi="Humnst777 BT"/>
          <w:b/>
          <w:color w:val="0070C0"/>
          <w:sz w:val="20"/>
          <w:szCs w:val="20"/>
        </w:rPr>
        <w:t>Professional Negligence</w:t>
      </w:r>
    </w:p>
    <w:p w14:paraId="616E1020" w14:textId="77777777" w:rsidR="00D053D0" w:rsidRPr="0080052C" w:rsidRDefault="00D053D0" w:rsidP="00D053D0">
      <w:pPr>
        <w:pStyle w:val="ListParagraph"/>
        <w:numPr>
          <w:ilvl w:val="0"/>
          <w:numId w:val="2"/>
        </w:numPr>
        <w:spacing w:after="120" w:line="360" w:lineRule="auto"/>
        <w:contextualSpacing w:val="0"/>
        <w:rPr>
          <w:rFonts w:ascii="Humnst777 BT" w:hAnsi="Humnst777 BT"/>
          <w:sz w:val="20"/>
          <w:szCs w:val="20"/>
        </w:rPr>
      </w:pPr>
      <w:r w:rsidRPr="0080052C">
        <w:rPr>
          <w:rFonts w:ascii="Humnst777 BT" w:hAnsi="Humnst777 BT"/>
          <w:sz w:val="20"/>
          <w:szCs w:val="20"/>
        </w:rPr>
        <w:t>Solicitors’ negligence led to the loss of the tenancy of a shop. Liability was admitted. The dispute concerned quantum.</w:t>
      </w:r>
    </w:p>
    <w:p w14:paraId="566D76A9" w14:textId="77777777" w:rsidR="00D053D0" w:rsidRPr="0080052C" w:rsidRDefault="00D053D0" w:rsidP="00D053D0">
      <w:pPr>
        <w:pStyle w:val="ListParagraph"/>
        <w:numPr>
          <w:ilvl w:val="0"/>
          <w:numId w:val="2"/>
        </w:numPr>
        <w:spacing w:after="120" w:line="360" w:lineRule="auto"/>
        <w:contextualSpacing w:val="0"/>
        <w:rPr>
          <w:rFonts w:ascii="Humnst777 BT" w:hAnsi="Humnst777 BT"/>
          <w:sz w:val="20"/>
          <w:szCs w:val="20"/>
        </w:rPr>
      </w:pPr>
      <w:r w:rsidRPr="0080052C">
        <w:rPr>
          <w:rFonts w:ascii="Humnst777 BT" w:hAnsi="Humnst777 BT"/>
          <w:sz w:val="20"/>
          <w:szCs w:val="20"/>
        </w:rPr>
        <w:t>Claim against a letting agent for letting a property to a ‘bad’ tenant</w:t>
      </w:r>
      <w:r>
        <w:rPr>
          <w:rFonts w:ascii="Humnst777 BT" w:hAnsi="Humnst777 BT"/>
          <w:sz w:val="20"/>
          <w:szCs w:val="20"/>
        </w:rPr>
        <w:t>.</w:t>
      </w:r>
    </w:p>
    <w:p w14:paraId="406E25D5" w14:textId="77777777" w:rsidR="00D053D0" w:rsidRPr="0080052C" w:rsidRDefault="00D053D0" w:rsidP="00D053D0">
      <w:pPr>
        <w:pStyle w:val="ListParagraph"/>
        <w:numPr>
          <w:ilvl w:val="0"/>
          <w:numId w:val="2"/>
        </w:numPr>
        <w:spacing w:after="120" w:line="360" w:lineRule="auto"/>
        <w:contextualSpacing w:val="0"/>
        <w:rPr>
          <w:rFonts w:ascii="Humnst777 BT" w:hAnsi="Humnst777 BT"/>
          <w:i/>
          <w:sz w:val="20"/>
          <w:szCs w:val="20"/>
        </w:rPr>
      </w:pPr>
      <w:r w:rsidRPr="0080052C">
        <w:rPr>
          <w:rFonts w:ascii="Humnst777 BT" w:hAnsi="Humnst777 BT"/>
          <w:i/>
          <w:sz w:val="20"/>
          <w:szCs w:val="20"/>
        </w:rPr>
        <w:t>Appeared for the successful appellant.  Where evidence became available for the first time after the date of the notional trial (the original proceedings having been struck out as the result of the respondent solicitors’ negligence in failing to prosecute the claim) in an action seeking to assess damages for the lost chance, unless the evidence related to some entirely new matter which could not have been known about at the date of the notional trial, the facts as they turned out to be should be taken into account by the judge dealing with the professional negligence action.</w:t>
      </w:r>
    </w:p>
    <w:p w14:paraId="5CAE408E" w14:textId="77777777" w:rsidR="00D053D0" w:rsidRPr="0080052C" w:rsidRDefault="00D053D0" w:rsidP="00D053D0">
      <w:pPr>
        <w:pStyle w:val="ListParagraph"/>
        <w:numPr>
          <w:ilvl w:val="0"/>
          <w:numId w:val="2"/>
        </w:numPr>
        <w:spacing w:after="120" w:line="360" w:lineRule="auto"/>
        <w:contextualSpacing w:val="0"/>
        <w:rPr>
          <w:rFonts w:ascii="Humnst777 BT" w:hAnsi="Humnst777 BT"/>
          <w:i/>
          <w:sz w:val="20"/>
          <w:szCs w:val="20"/>
        </w:rPr>
      </w:pPr>
      <w:r w:rsidRPr="0080052C">
        <w:rPr>
          <w:rFonts w:ascii="Humnst777 BT" w:hAnsi="Humnst777 BT"/>
          <w:i/>
          <w:sz w:val="20"/>
          <w:szCs w:val="20"/>
        </w:rPr>
        <w:t>Negligent plastic surgeon injected incorrect filler in a patient’s lips</w:t>
      </w:r>
      <w:r>
        <w:rPr>
          <w:rFonts w:ascii="Humnst777 BT" w:hAnsi="Humnst777 BT"/>
          <w:i/>
          <w:sz w:val="20"/>
          <w:szCs w:val="20"/>
        </w:rPr>
        <w:t>.</w:t>
      </w:r>
    </w:p>
    <w:p w14:paraId="23EF822C" w14:textId="77777777" w:rsidR="00D053D0" w:rsidRPr="0080052C" w:rsidRDefault="00D053D0" w:rsidP="00D053D0">
      <w:pPr>
        <w:pStyle w:val="ListParagraph"/>
        <w:numPr>
          <w:ilvl w:val="0"/>
          <w:numId w:val="2"/>
        </w:numPr>
        <w:spacing w:after="120" w:line="360" w:lineRule="auto"/>
        <w:contextualSpacing w:val="0"/>
        <w:rPr>
          <w:rFonts w:ascii="Humnst777 BT" w:hAnsi="Humnst777 BT"/>
          <w:i/>
          <w:sz w:val="20"/>
          <w:szCs w:val="20"/>
        </w:rPr>
      </w:pPr>
      <w:r w:rsidRPr="0080052C">
        <w:rPr>
          <w:rFonts w:ascii="Humnst777 BT" w:hAnsi="Humnst777 BT"/>
          <w:i/>
          <w:sz w:val="20"/>
          <w:szCs w:val="20"/>
        </w:rPr>
        <w:t>Claim against an accountant in respect of his valuation of the shares in a private company</w:t>
      </w:r>
      <w:r>
        <w:rPr>
          <w:rFonts w:ascii="Humnst777 BT" w:hAnsi="Humnst777 BT"/>
          <w:i/>
          <w:sz w:val="20"/>
          <w:szCs w:val="20"/>
        </w:rPr>
        <w:t>.</w:t>
      </w:r>
    </w:p>
    <w:p w14:paraId="573B46AD" w14:textId="4412BE14" w:rsidR="00D053D0" w:rsidRPr="00D053D0" w:rsidRDefault="00D053D0" w:rsidP="00D053D0">
      <w:pPr>
        <w:pStyle w:val="ListParagraph"/>
        <w:numPr>
          <w:ilvl w:val="0"/>
          <w:numId w:val="2"/>
        </w:numPr>
        <w:spacing w:after="120" w:line="360" w:lineRule="auto"/>
        <w:contextualSpacing w:val="0"/>
        <w:rPr>
          <w:rFonts w:ascii="Humnst777 BT" w:hAnsi="Humnst777 BT"/>
          <w:i/>
          <w:sz w:val="20"/>
          <w:szCs w:val="20"/>
        </w:rPr>
      </w:pPr>
      <w:r w:rsidRPr="0080052C">
        <w:rPr>
          <w:rFonts w:ascii="Humnst777 BT" w:hAnsi="Humnst777 BT"/>
          <w:i/>
          <w:sz w:val="20"/>
          <w:szCs w:val="20"/>
        </w:rPr>
        <w:t xml:space="preserve"> Negligence of a surveyor for failing to remind a client of the need to apply to the LVT within 6 months of the receipt of a counter notice in order to keep her enfranchisement claim alive.  Although a professional is obliged in certain circumstances to remind a client of his previous advice as to hazards, there is no general principle that he is under a duty to keep repeating that advice.</w:t>
      </w:r>
    </w:p>
    <w:p w14:paraId="18133357" w14:textId="77777777" w:rsidR="00D053D0" w:rsidRDefault="00D053D0" w:rsidP="00D053D0">
      <w:pPr>
        <w:spacing w:after="120" w:line="360" w:lineRule="auto"/>
        <w:rPr>
          <w:rFonts w:ascii="Humnst777 BT" w:hAnsi="Humnst777 BT"/>
          <w:b/>
          <w:sz w:val="20"/>
          <w:szCs w:val="20"/>
        </w:rPr>
      </w:pPr>
    </w:p>
    <w:p w14:paraId="33A557F0" w14:textId="77777777" w:rsidR="00D053D0" w:rsidRPr="0080052C" w:rsidRDefault="00D053D0" w:rsidP="00D053D0">
      <w:pPr>
        <w:spacing w:after="120" w:line="360" w:lineRule="auto"/>
        <w:rPr>
          <w:rFonts w:ascii="Humnst777 BT" w:hAnsi="Humnst777 BT"/>
          <w:b/>
          <w:color w:val="0070C0"/>
          <w:sz w:val="20"/>
          <w:szCs w:val="20"/>
        </w:rPr>
      </w:pPr>
      <w:r w:rsidRPr="0080052C">
        <w:rPr>
          <w:rFonts w:ascii="Humnst777 BT" w:hAnsi="Humnst777 BT"/>
          <w:b/>
          <w:color w:val="0070C0"/>
          <w:sz w:val="20"/>
          <w:szCs w:val="20"/>
        </w:rPr>
        <w:t>Property</w:t>
      </w:r>
    </w:p>
    <w:p w14:paraId="01E75D4C" w14:textId="23F2E39C" w:rsidR="00C16891" w:rsidRDefault="00C3052E" w:rsidP="00D053D0">
      <w:pPr>
        <w:pStyle w:val="ListParagraph"/>
        <w:numPr>
          <w:ilvl w:val="0"/>
          <w:numId w:val="2"/>
        </w:numPr>
        <w:spacing w:after="120" w:line="360" w:lineRule="auto"/>
        <w:contextualSpacing w:val="0"/>
        <w:rPr>
          <w:rFonts w:ascii="Humnst777 BT" w:hAnsi="Humnst777 BT"/>
          <w:sz w:val="20"/>
          <w:szCs w:val="20"/>
        </w:rPr>
      </w:pPr>
      <w:r>
        <w:rPr>
          <w:rFonts w:ascii="Humnst777 BT" w:hAnsi="Humnst777 BT"/>
          <w:sz w:val="20"/>
          <w:szCs w:val="20"/>
        </w:rPr>
        <w:t xml:space="preserve">Right of way dispute </w:t>
      </w:r>
      <w:r w:rsidR="004F3C10">
        <w:rPr>
          <w:rFonts w:ascii="Humnst777 BT" w:hAnsi="Humnst777 BT"/>
          <w:sz w:val="20"/>
          <w:szCs w:val="20"/>
        </w:rPr>
        <w:t xml:space="preserve">over a shared </w:t>
      </w:r>
      <w:r w:rsidR="00C16891">
        <w:rPr>
          <w:rFonts w:ascii="Humnst777 BT" w:hAnsi="Humnst777 BT"/>
          <w:sz w:val="20"/>
          <w:szCs w:val="20"/>
        </w:rPr>
        <w:t>access way.</w:t>
      </w:r>
    </w:p>
    <w:p w14:paraId="692B6907" w14:textId="251DC3A5" w:rsidR="00D053D0" w:rsidRDefault="00D053D0" w:rsidP="00D053D0">
      <w:pPr>
        <w:pStyle w:val="ListParagraph"/>
        <w:numPr>
          <w:ilvl w:val="0"/>
          <w:numId w:val="2"/>
        </w:numPr>
        <w:spacing w:after="120" w:line="360" w:lineRule="auto"/>
        <w:contextualSpacing w:val="0"/>
        <w:rPr>
          <w:rFonts w:ascii="Humnst777 BT" w:hAnsi="Humnst777 BT"/>
          <w:sz w:val="20"/>
          <w:szCs w:val="20"/>
        </w:rPr>
      </w:pPr>
      <w:r>
        <w:rPr>
          <w:rFonts w:ascii="Humnst777 BT" w:hAnsi="Humnst777 BT"/>
          <w:sz w:val="20"/>
          <w:szCs w:val="20"/>
        </w:rPr>
        <w:t xml:space="preserve">Party wall dispute where works were carried out by the building owner without serving a party wall notice. </w:t>
      </w:r>
    </w:p>
    <w:p w14:paraId="41691F63" w14:textId="77777777" w:rsidR="00D053D0" w:rsidRDefault="00D053D0" w:rsidP="00D053D0">
      <w:pPr>
        <w:pStyle w:val="ListParagraph"/>
        <w:numPr>
          <w:ilvl w:val="0"/>
          <w:numId w:val="2"/>
        </w:numPr>
        <w:spacing w:after="120" w:line="360" w:lineRule="auto"/>
        <w:contextualSpacing w:val="0"/>
        <w:rPr>
          <w:rFonts w:ascii="Humnst777 BT" w:hAnsi="Humnst777 BT"/>
          <w:sz w:val="20"/>
          <w:szCs w:val="20"/>
        </w:rPr>
      </w:pPr>
      <w:r w:rsidRPr="00FB0974">
        <w:rPr>
          <w:rFonts w:ascii="Humnst777 BT" w:hAnsi="Humnst777 BT"/>
          <w:sz w:val="20"/>
          <w:szCs w:val="20"/>
        </w:rPr>
        <w:t>Boundary dispute concerning</w:t>
      </w:r>
      <w:r>
        <w:rPr>
          <w:rFonts w:ascii="Humnst777 BT" w:hAnsi="Humnst777 BT"/>
          <w:sz w:val="20"/>
          <w:szCs w:val="20"/>
        </w:rPr>
        <w:t xml:space="preserve"> a ditch between two properties.</w:t>
      </w:r>
    </w:p>
    <w:p w14:paraId="78E5FDBE" w14:textId="10BA4796" w:rsidR="00D053D0" w:rsidRDefault="00D053D0" w:rsidP="00D053D0">
      <w:pPr>
        <w:pStyle w:val="ListParagraph"/>
        <w:numPr>
          <w:ilvl w:val="0"/>
          <w:numId w:val="2"/>
        </w:numPr>
        <w:spacing w:after="120" w:line="360" w:lineRule="auto"/>
        <w:contextualSpacing w:val="0"/>
        <w:rPr>
          <w:rFonts w:ascii="Humnst777 BT" w:hAnsi="Humnst777 BT"/>
          <w:sz w:val="20"/>
          <w:szCs w:val="20"/>
        </w:rPr>
      </w:pPr>
      <w:r w:rsidRPr="0080052C">
        <w:rPr>
          <w:rFonts w:ascii="Humnst777 BT" w:hAnsi="Humnst777 BT"/>
          <w:sz w:val="20"/>
          <w:szCs w:val="20"/>
        </w:rPr>
        <w:t xml:space="preserve">Dispute concerning a right of way. Neighbour carried out works to a pathway at the back of his property, which extended his garden. He said he had discussed the proposed works with the claimant before he did them. It was not clear who owned the path. The claimant investigated and discovered that his wife owned the </w:t>
      </w:r>
      <w:proofErr w:type="gramStart"/>
      <w:r w:rsidRPr="0080052C">
        <w:rPr>
          <w:rFonts w:ascii="Humnst777 BT" w:hAnsi="Humnst777 BT"/>
          <w:sz w:val="20"/>
          <w:szCs w:val="20"/>
        </w:rPr>
        <w:t>path</w:t>
      </w:r>
      <w:proofErr w:type="gramEnd"/>
      <w:r w:rsidRPr="0080052C">
        <w:rPr>
          <w:rFonts w:ascii="Humnst777 BT" w:hAnsi="Humnst777 BT"/>
          <w:sz w:val="20"/>
          <w:szCs w:val="20"/>
        </w:rPr>
        <w:t xml:space="preserve"> and he demanded that the path be reinstated.</w:t>
      </w:r>
    </w:p>
    <w:p w14:paraId="5558FB24" w14:textId="06BA0FBD" w:rsidR="00A35950" w:rsidRDefault="00104D90" w:rsidP="00D053D0">
      <w:pPr>
        <w:pStyle w:val="ListParagraph"/>
        <w:numPr>
          <w:ilvl w:val="0"/>
          <w:numId w:val="2"/>
        </w:numPr>
        <w:spacing w:after="120" w:line="360" w:lineRule="auto"/>
        <w:contextualSpacing w:val="0"/>
        <w:rPr>
          <w:rFonts w:ascii="Humnst777 BT" w:hAnsi="Humnst777 BT"/>
          <w:sz w:val="20"/>
          <w:szCs w:val="20"/>
        </w:rPr>
      </w:pPr>
      <w:r>
        <w:rPr>
          <w:rFonts w:ascii="Humnst777 BT" w:hAnsi="Humnst777 BT"/>
          <w:sz w:val="20"/>
          <w:szCs w:val="20"/>
        </w:rPr>
        <w:t xml:space="preserve">Dispute between neighbours, involving noise and visual nuisance through a </w:t>
      </w:r>
      <w:proofErr w:type="gramStart"/>
      <w:r>
        <w:rPr>
          <w:rFonts w:ascii="Humnst777 BT" w:hAnsi="Humnst777 BT"/>
          <w:sz w:val="20"/>
          <w:szCs w:val="20"/>
        </w:rPr>
        <w:t>skylight</w:t>
      </w:r>
      <w:proofErr w:type="gramEnd"/>
    </w:p>
    <w:p w14:paraId="41A1FF5A" w14:textId="4C22594D" w:rsidR="008C3414" w:rsidRPr="00A35950" w:rsidRDefault="00B94B81" w:rsidP="00D053D0">
      <w:pPr>
        <w:pStyle w:val="ListParagraph"/>
        <w:numPr>
          <w:ilvl w:val="0"/>
          <w:numId w:val="2"/>
        </w:numPr>
        <w:spacing w:after="120" w:line="360" w:lineRule="auto"/>
        <w:contextualSpacing w:val="0"/>
        <w:rPr>
          <w:rFonts w:ascii="Humnst777 BT" w:hAnsi="Humnst777 BT"/>
          <w:i/>
          <w:iCs/>
          <w:sz w:val="20"/>
          <w:szCs w:val="20"/>
        </w:rPr>
      </w:pPr>
      <w:r w:rsidRPr="00A35950">
        <w:rPr>
          <w:rFonts w:ascii="Humnst777 BT" w:hAnsi="Humnst777 BT"/>
          <w:i/>
          <w:iCs/>
          <w:sz w:val="20"/>
          <w:szCs w:val="20"/>
        </w:rPr>
        <w:lastRenderedPageBreak/>
        <w:t>Once proceedings had been issued</w:t>
      </w:r>
      <w:r w:rsidR="00016730" w:rsidRPr="00A35950">
        <w:rPr>
          <w:rFonts w:ascii="Humnst777 BT" w:hAnsi="Humnst777 BT"/>
          <w:i/>
          <w:iCs/>
          <w:sz w:val="20"/>
          <w:szCs w:val="20"/>
        </w:rPr>
        <w:t xml:space="preserve">, </w:t>
      </w:r>
      <w:r w:rsidR="006B3662" w:rsidRPr="00A35950">
        <w:rPr>
          <w:rFonts w:ascii="Humnst777 BT" w:hAnsi="Humnst777 BT"/>
          <w:i/>
          <w:iCs/>
          <w:sz w:val="20"/>
          <w:szCs w:val="20"/>
        </w:rPr>
        <w:t>but the mortgagor had obtained an order suspending a warrant for possession, the mortgagee was not permitted to t</w:t>
      </w:r>
      <w:r w:rsidR="007529A1" w:rsidRPr="00A35950">
        <w:rPr>
          <w:rFonts w:ascii="Humnst777 BT" w:hAnsi="Humnst777 BT"/>
          <w:i/>
          <w:iCs/>
          <w:sz w:val="20"/>
          <w:szCs w:val="20"/>
        </w:rPr>
        <w:t>a</w:t>
      </w:r>
      <w:r w:rsidR="006B3662" w:rsidRPr="00A35950">
        <w:rPr>
          <w:rFonts w:ascii="Humnst777 BT" w:hAnsi="Humnst777 BT"/>
          <w:i/>
          <w:iCs/>
          <w:sz w:val="20"/>
          <w:szCs w:val="20"/>
        </w:rPr>
        <w:t xml:space="preserve">ke possession relying on its common law rights. </w:t>
      </w:r>
      <w:r w:rsidR="007529A1" w:rsidRPr="00A35950">
        <w:rPr>
          <w:rFonts w:ascii="Humnst777 BT" w:hAnsi="Humnst777 BT"/>
          <w:i/>
          <w:iCs/>
          <w:sz w:val="20"/>
          <w:szCs w:val="20"/>
        </w:rPr>
        <w:t xml:space="preserve">Its having done so in such circumstances rendered the relationship unfair under the Consumer Credit Act 1974. </w:t>
      </w:r>
    </w:p>
    <w:p w14:paraId="2A4447A1" w14:textId="77777777" w:rsidR="00D053D0" w:rsidRPr="0080052C" w:rsidRDefault="00D053D0" w:rsidP="00D053D0">
      <w:pPr>
        <w:pStyle w:val="ListParagraph"/>
        <w:numPr>
          <w:ilvl w:val="0"/>
          <w:numId w:val="2"/>
        </w:numPr>
        <w:spacing w:after="120" w:line="360" w:lineRule="auto"/>
        <w:contextualSpacing w:val="0"/>
        <w:rPr>
          <w:rFonts w:ascii="Humnst777 BT" w:hAnsi="Humnst777 BT"/>
          <w:i/>
          <w:sz w:val="20"/>
          <w:szCs w:val="20"/>
        </w:rPr>
      </w:pPr>
      <w:r w:rsidRPr="0080052C">
        <w:rPr>
          <w:rFonts w:ascii="Humnst777 BT" w:hAnsi="Humnst777 BT"/>
          <w:i/>
          <w:sz w:val="20"/>
          <w:szCs w:val="20"/>
        </w:rPr>
        <w:t>An express easement in a transfer of a freehold claim granting the transferee the right of free passage of services through service media and the right to lay further service media, did not oblige the transferor, or its successor in title, to take the positive step of entering into a separate deed of easement with the electricity provider, despite the fact that the latter would only provide electricity on execution of such a deed. Further, the refusal of the transferor to enter such a deed was not a derogation from grant.</w:t>
      </w:r>
    </w:p>
    <w:p w14:paraId="187CAAA8" w14:textId="77777777" w:rsidR="00D053D0" w:rsidRPr="0080052C" w:rsidRDefault="00D053D0" w:rsidP="00D053D0">
      <w:pPr>
        <w:pStyle w:val="ListParagraph"/>
        <w:numPr>
          <w:ilvl w:val="0"/>
          <w:numId w:val="2"/>
        </w:numPr>
        <w:spacing w:after="120" w:line="360" w:lineRule="auto"/>
        <w:contextualSpacing w:val="0"/>
        <w:rPr>
          <w:rFonts w:ascii="Humnst777 BT" w:hAnsi="Humnst777 BT"/>
          <w:i/>
          <w:sz w:val="20"/>
          <w:szCs w:val="20"/>
        </w:rPr>
      </w:pPr>
      <w:r w:rsidRPr="0080052C">
        <w:rPr>
          <w:rFonts w:ascii="Humnst777 BT" w:hAnsi="Humnst777 BT"/>
          <w:i/>
          <w:sz w:val="20"/>
          <w:szCs w:val="20"/>
        </w:rPr>
        <w:t>Sale of property claims by the buyer that the seller was guilty of misrepresentation. Interlocutory injunction restraining the owner of an adjacent property from carrying out any works affecting the party wall until it had been adequately propped and party wall surveyors had approved the works to be carried out to it.</w:t>
      </w:r>
    </w:p>
    <w:p w14:paraId="01ABA73B" w14:textId="77777777" w:rsidR="00D053D0" w:rsidRDefault="00D053D0" w:rsidP="00D053D0">
      <w:pPr>
        <w:pStyle w:val="ListParagraph"/>
        <w:numPr>
          <w:ilvl w:val="0"/>
          <w:numId w:val="2"/>
        </w:numPr>
        <w:spacing w:after="120" w:line="360" w:lineRule="auto"/>
        <w:contextualSpacing w:val="0"/>
        <w:rPr>
          <w:rFonts w:ascii="Humnst777 BT" w:hAnsi="Humnst777 BT"/>
          <w:i/>
          <w:sz w:val="20"/>
          <w:szCs w:val="20"/>
        </w:rPr>
      </w:pPr>
      <w:r w:rsidRPr="0080052C">
        <w:rPr>
          <w:rFonts w:ascii="Humnst777 BT" w:hAnsi="Humnst777 BT"/>
          <w:i/>
          <w:sz w:val="20"/>
          <w:szCs w:val="20"/>
        </w:rPr>
        <w:t>Dispute concerning a right of way over the yard/</w:t>
      </w:r>
      <w:proofErr w:type="gramStart"/>
      <w:r w:rsidRPr="0080052C">
        <w:rPr>
          <w:rFonts w:ascii="Humnst777 BT" w:hAnsi="Humnst777 BT"/>
          <w:i/>
          <w:sz w:val="20"/>
          <w:szCs w:val="20"/>
        </w:rPr>
        <w:t>car-park</w:t>
      </w:r>
      <w:proofErr w:type="gramEnd"/>
      <w:r w:rsidRPr="0080052C">
        <w:rPr>
          <w:rFonts w:ascii="Humnst777 BT" w:hAnsi="Humnst777 BT"/>
          <w:i/>
          <w:sz w:val="20"/>
          <w:szCs w:val="20"/>
        </w:rPr>
        <w:t xml:space="preserve"> behind a parade of shops</w:t>
      </w:r>
      <w:r>
        <w:rPr>
          <w:rFonts w:ascii="Humnst777 BT" w:hAnsi="Humnst777 BT"/>
          <w:i/>
          <w:sz w:val="20"/>
          <w:szCs w:val="20"/>
        </w:rPr>
        <w:t>.</w:t>
      </w:r>
    </w:p>
    <w:p w14:paraId="313B3EC1" w14:textId="77777777" w:rsidR="00D053D0" w:rsidRPr="0080052C" w:rsidRDefault="00D053D0" w:rsidP="00D053D0">
      <w:pPr>
        <w:pStyle w:val="ListParagraph"/>
        <w:numPr>
          <w:ilvl w:val="0"/>
          <w:numId w:val="2"/>
        </w:numPr>
        <w:spacing w:after="120" w:line="360" w:lineRule="auto"/>
        <w:contextualSpacing w:val="0"/>
        <w:rPr>
          <w:rFonts w:ascii="Humnst777 BT" w:hAnsi="Humnst777 BT"/>
          <w:i/>
          <w:sz w:val="20"/>
          <w:szCs w:val="20"/>
        </w:rPr>
      </w:pPr>
      <w:r>
        <w:rPr>
          <w:rFonts w:ascii="Humnst777 BT" w:hAnsi="Humnst777 BT"/>
          <w:i/>
          <w:sz w:val="20"/>
          <w:szCs w:val="20"/>
        </w:rPr>
        <w:t>Dispute concerning long lease of an over-rented commercial property.</w:t>
      </w:r>
    </w:p>
    <w:p w14:paraId="48E32E0F" w14:textId="77777777" w:rsidR="00D053D0" w:rsidRPr="0080052C" w:rsidRDefault="00D053D0" w:rsidP="00D053D0">
      <w:pPr>
        <w:pStyle w:val="ListParagraph"/>
        <w:numPr>
          <w:ilvl w:val="0"/>
          <w:numId w:val="2"/>
        </w:numPr>
        <w:spacing w:after="120" w:line="360" w:lineRule="auto"/>
        <w:contextualSpacing w:val="0"/>
        <w:rPr>
          <w:rFonts w:ascii="Humnst777 BT" w:hAnsi="Humnst777 BT"/>
          <w:i/>
          <w:sz w:val="20"/>
          <w:szCs w:val="20"/>
        </w:rPr>
      </w:pPr>
      <w:r w:rsidRPr="0080052C">
        <w:rPr>
          <w:rFonts w:ascii="Humnst777 BT" w:hAnsi="Humnst777 BT"/>
          <w:i/>
          <w:sz w:val="20"/>
          <w:szCs w:val="20"/>
        </w:rPr>
        <w:t>Boundary dispute concerning semi-detached properties in London</w:t>
      </w:r>
      <w:r>
        <w:rPr>
          <w:rFonts w:ascii="Humnst777 BT" w:hAnsi="Humnst777 BT"/>
          <w:i/>
          <w:sz w:val="20"/>
          <w:szCs w:val="20"/>
        </w:rPr>
        <w:t>.</w:t>
      </w:r>
    </w:p>
    <w:p w14:paraId="4E6ACBEA" w14:textId="77777777" w:rsidR="00D053D0" w:rsidRPr="0080052C" w:rsidRDefault="00D053D0" w:rsidP="00D053D0">
      <w:pPr>
        <w:pStyle w:val="ListParagraph"/>
        <w:numPr>
          <w:ilvl w:val="0"/>
          <w:numId w:val="2"/>
        </w:numPr>
        <w:spacing w:after="120" w:line="360" w:lineRule="auto"/>
        <w:contextualSpacing w:val="0"/>
        <w:rPr>
          <w:rFonts w:ascii="Humnst777 BT" w:hAnsi="Humnst777 BT"/>
          <w:i/>
          <w:sz w:val="20"/>
          <w:szCs w:val="20"/>
        </w:rPr>
      </w:pPr>
      <w:r w:rsidRPr="0080052C">
        <w:rPr>
          <w:rFonts w:ascii="Humnst777 BT" w:hAnsi="Humnst777 BT"/>
          <w:i/>
          <w:sz w:val="20"/>
          <w:szCs w:val="20"/>
        </w:rPr>
        <w:t>Boundary/easement dispute concerning properties in Neath</w:t>
      </w:r>
      <w:r>
        <w:rPr>
          <w:rFonts w:ascii="Humnst777 BT" w:hAnsi="Humnst777 BT"/>
          <w:i/>
          <w:sz w:val="20"/>
          <w:szCs w:val="20"/>
        </w:rPr>
        <w:t>.</w:t>
      </w:r>
    </w:p>
    <w:p w14:paraId="721DC15F" w14:textId="77777777" w:rsidR="00D053D0" w:rsidRDefault="00D053D0" w:rsidP="00D053D0">
      <w:pPr>
        <w:pStyle w:val="ListParagraph"/>
        <w:numPr>
          <w:ilvl w:val="0"/>
          <w:numId w:val="2"/>
        </w:numPr>
        <w:spacing w:after="120" w:line="360" w:lineRule="auto"/>
        <w:contextualSpacing w:val="0"/>
        <w:rPr>
          <w:rFonts w:ascii="Humnst777 BT" w:hAnsi="Humnst777 BT"/>
          <w:i/>
          <w:sz w:val="20"/>
          <w:szCs w:val="20"/>
        </w:rPr>
      </w:pPr>
      <w:r w:rsidRPr="0080052C">
        <w:rPr>
          <w:rFonts w:ascii="Humnst777 BT" w:hAnsi="Humnst777 BT"/>
          <w:i/>
          <w:sz w:val="20"/>
          <w:szCs w:val="20"/>
        </w:rPr>
        <w:t>Boundary dispute concerning landed estates in Kent</w:t>
      </w:r>
      <w:r>
        <w:rPr>
          <w:rFonts w:ascii="Humnst777 BT" w:hAnsi="Humnst777 BT"/>
          <w:i/>
          <w:sz w:val="20"/>
          <w:szCs w:val="20"/>
        </w:rPr>
        <w:t>.</w:t>
      </w:r>
    </w:p>
    <w:p w14:paraId="7A9052E4" w14:textId="77777777" w:rsidR="00D053D0" w:rsidRDefault="00D053D0" w:rsidP="00D053D0">
      <w:pPr>
        <w:pStyle w:val="ListParagraph"/>
        <w:numPr>
          <w:ilvl w:val="0"/>
          <w:numId w:val="2"/>
        </w:numPr>
        <w:spacing w:after="120" w:line="360" w:lineRule="auto"/>
        <w:contextualSpacing w:val="0"/>
        <w:rPr>
          <w:rFonts w:ascii="Humnst777 BT" w:hAnsi="Humnst777 BT"/>
          <w:i/>
          <w:sz w:val="20"/>
          <w:szCs w:val="20"/>
        </w:rPr>
      </w:pPr>
      <w:r>
        <w:rPr>
          <w:rFonts w:ascii="Humnst777 BT" w:hAnsi="Humnst777 BT"/>
          <w:i/>
          <w:sz w:val="20"/>
          <w:szCs w:val="20"/>
        </w:rPr>
        <w:t>Boundary dispute concerning the rear gardens of terraced properties in south-west London.</w:t>
      </w:r>
    </w:p>
    <w:p w14:paraId="0DC8FEED" w14:textId="77777777" w:rsidR="00D053D0" w:rsidRPr="0080052C" w:rsidRDefault="00D053D0" w:rsidP="00D053D0">
      <w:pPr>
        <w:pStyle w:val="ListParagraph"/>
        <w:numPr>
          <w:ilvl w:val="0"/>
          <w:numId w:val="2"/>
        </w:numPr>
        <w:spacing w:after="120" w:line="360" w:lineRule="auto"/>
        <w:contextualSpacing w:val="0"/>
        <w:rPr>
          <w:rFonts w:ascii="Humnst777 BT" w:hAnsi="Humnst777 BT"/>
          <w:i/>
          <w:sz w:val="20"/>
          <w:szCs w:val="20"/>
        </w:rPr>
      </w:pPr>
      <w:r>
        <w:rPr>
          <w:rFonts w:ascii="Humnst777 BT" w:hAnsi="Humnst777 BT"/>
          <w:i/>
          <w:sz w:val="20"/>
          <w:szCs w:val="20"/>
        </w:rPr>
        <w:t xml:space="preserve">Boundary and right of way dispute concerning properties in Berkshire. </w:t>
      </w:r>
      <w:r w:rsidRPr="0080052C">
        <w:rPr>
          <w:rFonts w:ascii="Humnst777 BT" w:hAnsi="Humnst777 BT"/>
          <w:b/>
          <w:sz w:val="20"/>
          <w:szCs w:val="20"/>
        </w:rPr>
        <w:br/>
      </w:r>
    </w:p>
    <w:p w14:paraId="72E87494" w14:textId="77777777" w:rsidR="00D053D0" w:rsidRPr="0080052C" w:rsidRDefault="00D053D0" w:rsidP="00D053D0">
      <w:pPr>
        <w:spacing w:after="120" w:line="360" w:lineRule="auto"/>
        <w:ind w:firstLine="720"/>
        <w:rPr>
          <w:rFonts w:ascii="Humnst777 BT" w:hAnsi="Humnst777 BT"/>
          <w:b/>
          <w:color w:val="0070C0"/>
          <w:sz w:val="20"/>
          <w:szCs w:val="20"/>
        </w:rPr>
      </w:pPr>
      <w:r w:rsidRPr="0080052C">
        <w:rPr>
          <w:rFonts w:ascii="Humnst777 BT" w:hAnsi="Humnst777 BT"/>
          <w:b/>
          <w:color w:val="0070C0"/>
          <w:sz w:val="20"/>
          <w:szCs w:val="20"/>
        </w:rPr>
        <w:t>Landlord &amp; Tenant</w:t>
      </w:r>
    </w:p>
    <w:p w14:paraId="5ACD5198" w14:textId="77777777" w:rsidR="00D053D0" w:rsidRPr="0080052C" w:rsidRDefault="00D053D0" w:rsidP="00D053D0">
      <w:pPr>
        <w:pStyle w:val="ListParagraph"/>
        <w:numPr>
          <w:ilvl w:val="0"/>
          <w:numId w:val="2"/>
        </w:numPr>
        <w:spacing w:after="120" w:line="360" w:lineRule="auto"/>
        <w:contextualSpacing w:val="0"/>
        <w:rPr>
          <w:rFonts w:ascii="Humnst777 BT" w:hAnsi="Humnst777 BT"/>
          <w:sz w:val="20"/>
          <w:szCs w:val="20"/>
        </w:rPr>
      </w:pPr>
      <w:r w:rsidRPr="0080052C">
        <w:rPr>
          <w:rFonts w:ascii="Humnst777 BT" w:hAnsi="Humnst777 BT"/>
          <w:sz w:val="20"/>
          <w:szCs w:val="20"/>
        </w:rPr>
        <w:t xml:space="preserve">Dispute between the landlord and tenant of a hotel regarding whether an informal agreement for a concessionary rent was temporary or permanent and whether it was binding on the successor landlord.  </w:t>
      </w:r>
    </w:p>
    <w:p w14:paraId="11C00991" w14:textId="77777777" w:rsidR="00D053D0" w:rsidRPr="0080052C" w:rsidRDefault="00D053D0" w:rsidP="00D053D0">
      <w:pPr>
        <w:pStyle w:val="ListParagraph"/>
        <w:numPr>
          <w:ilvl w:val="0"/>
          <w:numId w:val="2"/>
        </w:numPr>
        <w:spacing w:after="120" w:line="360" w:lineRule="auto"/>
        <w:contextualSpacing w:val="0"/>
        <w:rPr>
          <w:rFonts w:ascii="Humnst777 BT" w:hAnsi="Humnst777 BT"/>
          <w:sz w:val="20"/>
          <w:szCs w:val="20"/>
        </w:rPr>
      </w:pPr>
      <w:r w:rsidRPr="0080052C">
        <w:rPr>
          <w:rFonts w:ascii="Humnst777 BT" w:hAnsi="Humnst777 BT"/>
          <w:sz w:val="20"/>
          <w:szCs w:val="20"/>
        </w:rPr>
        <w:t>Landlord claimed rent arrears in respect of a flat. Tenant set-off and counterclaimed damages in respect of various items of disrepair and vermin.</w:t>
      </w:r>
    </w:p>
    <w:p w14:paraId="0F3BAEE2" w14:textId="77777777" w:rsidR="00D053D0" w:rsidRPr="0080052C" w:rsidRDefault="00D053D0" w:rsidP="00D053D0">
      <w:pPr>
        <w:pStyle w:val="ListParagraph"/>
        <w:numPr>
          <w:ilvl w:val="0"/>
          <w:numId w:val="2"/>
        </w:numPr>
        <w:spacing w:after="120" w:line="360" w:lineRule="auto"/>
        <w:ind w:left="714" w:hanging="357"/>
        <w:contextualSpacing w:val="0"/>
        <w:rPr>
          <w:rFonts w:ascii="Humnst777 BT" w:hAnsi="Humnst777 BT"/>
          <w:sz w:val="20"/>
          <w:szCs w:val="20"/>
        </w:rPr>
      </w:pPr>
      <w:r w:rsidRPr="0080052C">
        <w:rPr>
          <w:rFonts w:ascii="Humnst777 BT" w:hAnsi="Humnst777 BT"/>
          <w:sz w:val="20"/>
          <w:szCs w:val="20"/>
        </w:rPr>
        <w:t>Unlawful eviction dispute.</w:t>
      </w:r>
    </w:p>
    <w:p w14:paraId="7FB0D835" w14:textId="77777777" w:rsidR="00D053D0" w:rsidRPr="0080052C" w:rsidRDefault="00D053D0" w:rsidP="00D053D0">
      <w:pPr>
        <w:pStyle w:val="ListParagraph"/>
        <w:numPr>
          <w:ilvl w:val="0"/>
          <w:numId w:val="2"/>
        </w:numPr>
        <w:spacing w:after="120" w:line="360" w:lineRule="auto"/>
        <w:ind w:left="714" w:hanging="357"/>
        <w:contextualSpacing w:val="0"/>
        <w:rPr>
          <w:rFonts w:ascii="Humnst777 BT" w:hAnsi="Humnst777 BT"/>
          <w:sz w:val="20"/>
          <w:szCs w:val="20"/>
        </w:rPr>
      </w:pPr>
      <w:r w:rsidRPr="0080052C">
        <w:rPr>
          <w:rFonts w:ascii="Humnst777 BT" w:hAnsi="Humnst777 BT"/>
          <w:sz w:val="20"/>
          <w:szCs w:val="20"/>
        </w:rPr>
        <w:t xml:space="preserve">Tenant paid 1 year’s rent in advance for a house in an exclusive </w:t>
      </w:r>
      <w:proofErr w:type="gramStart"/>
      <w:r w:rsidRPr="0080052C">
        <w:rPr>
          <w:rFonts w:ascii="Humnst777 BT" w:hAnsi="Humnst777 BT"/>
          <w:sz w:val="20"/>
          <w:szCs w:val="20"/>
        </w:rPr>
        <w:t>area, but</w:t>
      </w:r>
      <w:proofErr w:type="gramEnd"/>
      <w:r w:rsidRPr="0080052C">
        <w:rPr>
          <w:rFonts w:ascii="Humnst777 BT" w:hAnsi="Humnst777 BT"/>
          <w:sz w:val="20"/>
          <w:szCs w:val="20"/>
        </w:rPr>
        <w:t xml:space="preserve"> moved out after less than two weeks complaining of disrepair which, it was alleged, amounted to repudiation. </w:t>
      </w:r>
    </w:p>
    <w:p w14:paraId="3E636DBA" w14:textId="77777777" w:rsidR="00D053D0" w:rsidRPr="0080052C" w:rsidRDefault="00D053D0" w:rsidP="00D053D0">
      <w:pPr>
        <w:pStyle w:val="ListParagraph"/>
        <w:numPr>
          <w:ilvl w:val="0"/>
          <w:numId w:val="2"/>
        </w:numPr>
        <w:spacing w:after="120" w:line="360" w:lineRule="auto"/>
        <w:ind w:left="714" w:hanging="357"/>
        <w:contextualSpacing w:val="0"/>
        <w:rPr>
          <w:rFonts w:ascii="Humnst777 BT" w:hAnsi="Humnst777 BT"/>
          <w:sz w:val="20"/>
          <w:szCs w:val="20"/>
        </w:rPr>
      </w:pPr>
      <w:r w:rsidRPr="0080052C">
        <w:rPr>
          <w:rFonts w:ascii="Humnst777 BT" w:hAnsi="Humnst777 BT"/>
          <w:sz w:val="20"/>
          <w:szCs w:val="20"/>
        </w:rPr>
        <w:t>Dispute about service charges in commercial premises.</w:t>
      </w:r>
    </w:p>
    <w:p w14:paraId="077557CF" w14:textId="77777777" w:rsidR="00D053D0" w:rsidRPr="0080052C" w:rsidRDefault="00D053D0" w:rsidP="00D053D0">
      <w:pPr>
        <w:pStyle w:val="ListParagraph"/>
        <w:numPr>
          <w:ilvl w:val="0"/>
          <w:numId w:val="2"/>
        </w:numPr>
        <w:spacing w:after="120" w:line="360" w:lineRule="auto"/>
        <w:ind w:left="714" w:hanging="357"/>
        <w:contextualSpacing w:val="0"/>
        <w:rPr>
          <w:rFonts w:ascii="Humnst777 BT" w:hAnsi="Humnst777 BT"/>
          <w:i/>
          <w:sz w:val="20"/>
          <w:szCs w:val="20"/>
        </w:rPr>
      </w:pPr>
      <w:r w:rsidRPr="0080052C">
        <w:rPr>
          <w:rFonts w:ascii="Humnst777 BT" w:hAnsi="Humnst777 BT"/>
          <w:i/>
          <w:sz w:val="20"/>
          <w:szCs w:val="20"/>
        </w:rPr>
        <w:t xml:space="preserve">Representing the tenant against the owner of a shopping mall in a claim for misrepresentations which induced him to </w:t>
      </w:r>
      <w:proofErr w:type="gramStart"/>
      <w:r w:rsidRPr="0080052C">
        <w:rPr>
          <w:rFonts w:ascii="Humnst777 BT" w:hAnsi="Humnst777 BT"/>
          <w:i/>
          <w:sz w:val="20"/>
          <w:szCs w:val="20"/>
        </w:rPr>
        <w:t>enter into</w:t>
      </w:r>
      <w:proofErr w:type="gramEnd"/>
      <w:r w:rsidRPr="0080052C">
        <w:rPr>
          <w:rFonts w:ascii="Humnst777 BT" w:hAnsi="Humnst777 BT"/>
          <w:i/>
          <w:sz w:val="20"/>
          <w:szCs w:val="20"/>
        </w:rPr>
        <w:t xml:space="preserve"> the lease</w:t>
      </w:r>
      <w:r>
        <w:rPr>
          <w:rFonts w:ascii="Humnst777 BT" w:hAnsi="Humnst777 BT"/>
          <w:i/>
          <w:sz w:val="20"/>
          <w:szCs w:val="20"/>
        </w:rPr>
        <w:t>.</w:t>
      </w:r>
    </w:p>
    <w:p w14:paraId="3BB64E81" w14:textId="77777777" w:rsidR="00D053D0" w:rsidRPr="0080052C" w:rsidRDefault="00D053D0" w:rsidP="00D053D0">
      <w:pPr>
        <w:pStyle w:val="ListParagraph"/>
        <w:numPr>
          <w:ilvl w:val="0"/>
          <w:numId w:val="2"/>
        </w:numPr>
        <w:spacing w:after="120" w:line="360" w:lineRule="auto"/>
        <w:ind w:left="714" w:hanging="357"/>
        <w:contextualSpacing w:val="0"/>
        <w:rPr>
          <w:rFonts w:ascii="Humnst777 BT" w:hAnsi="Humnst777 BT"/>
          <w:i/>
          <w:sz w:val="20"/>
          <w:szCs w:val="20"/>
        </w:rPr>
      </w:pPr>
      <w:r w:rsidRPr="0080052C">
        <w:rPr>
          <w:rFonts w:ascii="Humnst777 BT" w:hAnsi="Humnst777 BT"/>
          <w:i/>
          <w:sz w:val="20"/>
          <w:szCs w:val="20"/>
        </w:rPr>
        <w:lastRenderedPageBreak/>
        <w:t xml:space="preserve">Representing the long lessees who had purchased a flat </w:t>
      </w:r>
      <w:proofErr w:type="gramStart"/>
      <w:r w:rsidRPr="0080052C">
        <w:rPr>
          <w:rFonts w:ascii="Humnst777 BT" w:hAnsi="Humnst777 BT"/>
          <w:i/>
          <w:sz w:val="20"/>
          <w:szCs w:val="20"/>
        </w:rPr>
        <w:t>off-plan</w:t>
      </w:r>
      <w:proofErr w:type="gramEnd"/>
      <w:r w:rsidRPr="0080052C">
        <w:rPr>
          <w:rFonts w:ascii="Humnst777 BT" w:hAnsi="Humnst777 BT"/>
          <w:i/>
          <w:sz w:val="20"/>
          <w:szCs w:val="20"/>
        </w:rPr>
        <w:t xml:space="preserve"> in a claim against the freehold owner/developer for misrepresentations which induced them to enter into the lease</w:t>
      </w:r>
      <w:r>
        <w:rPr>
          <w:rFonts w:ascii="Humnst777 BT" w:hAnsi="Humnst777 BT"/>
          <w:i/>
          <w:sz w:val="20"/>
          <w:szCs w:val="20"/>
        </w:rPr>
        <w:t>.</w:t>
      </w:r>
    </w:p>
    <w:p w14:paraId="5BEE8E71" w14:textId="77777777" w:rsidR="00D053D0" w:rsidRPr="0080052C" w:rsidRDefault="00D053D0" w:rsidP="00D053D0">
      <w:pPr>
        <w:pStyle w:val="ListParagraph"/>
        <w:numPr>
          <w:ilvl w:val="0"/>
          <w:numId w:val="2"/>
        </w:numPr>
        <w:spacing w:after="120" w:line="360" w:lineRule="auto"/>
        <w:ind w:left="714" w:hanging="357"/>
        <w:contextualSpacing w:val="0"/>
        <w:rPr>
          <w:rFonts w:ascii="Humnst777 BT" w:hAnsi="Humnst777 BT"/>
          <w:i/>
          <w:sz w:val="20"/>
          <w:szCs w:val="20"/>
        </w:rPr>
      </w:pPr>
      <w:r w:rsidRPr="0080052C">
        <w:rPr>
          <w:rFonts w:ascii="Humnst777 BT" w:hAnsi="Humnst777 BT"/>
          <w:i/>
          <w:sz w:val="20"/>
          <w:szCs w:val="20"/>
        </w:rPr>
        <w:t xml:space="preserve"> An appeal concerning the powers and functions of a manager appointed by the court under s.24 of the Landlord and Tenant Act 1987.  It was contended the manager did not have power to re-let a flat within the demised property which did not have planning permission or receive remuneration in connection with the flat.</w:t>
      </w:r>
    </w:p>
    <w:p w14:paraId="69DB6E3F" w14:textId="77777777" w:rsidR="00D053D0" w:rsidRPr="0080052C" w:rsidRDefault="00D053D0" w:rsidP="00D053D0">
      <w:pPr>
        <w:pStyle w:val="ListParagraph"/>
        <w:numPr>
          <w:ilvl w:val="0"/>
          <w:numId w:val="2"/>
        </w:numPr>
        <w:spacing w:after="120" w:line="360" w:lineRule="auto"/>
        <w:ind w:left="714" w:hanging="357"/>
        <w:contextualSpacing w:val="0"/>
        <w:rPr>
          <w:rFonts w:ascii="Humnst777 BT" w:hAnsi="Humnst777 BT"/>
          <w:i/>
          <w:sz w:val="20"/>
          <w:szCs w:val="20"/>
        </w:rPr>
      </w:pPr>
      <w:r w:rsidRPr="0080052C">
        <w:rPr>
          <w:rFonts w:ascii="Humnst777 BT" w:hAnsi="Humnst777 BT"/>
          <w:i/>
          <w:sz w:val="20"/>
          <w:szCs w:val="20"/>
        </w:rPr>
        <w:t>Issues concerning surrender of commercial premises.</w:t>
      </w:r>
    </w:p>
    <w:p w14:paraId="222167FE" w14:textId="77777777" w:rsidR="00D053D0" w:rsidRPr="0080052C" w:rsidRDefault="00D053D0" w:rsidP="00D053D0">
      <w:pPr>
        <w:pStyle w:val="ListParagraph"/>
        <w:numPr>
          <w:ilvl w:val="0"/>
          <w:numId w:val="2"/>
        </w:numPr>
        <w:spacing w:after="120" w:line="360" w:lineRule="auto"/>
        <w:ind w:left="714" w:hanging="357"/>
        <w:contextualSpacing w:val="0"/>
        <w:rPr>
          <w:rFonts w:ascii="Humnst777 BT" w:hAnsi="Humnst777 BT"/>
          <w:i/>
          <w:sz w:val="20"/>
          <w:szCs w:val="20"/>
        </w:rPr>
      </w:pPr>
      <w:r w:rsidRPr="0080052C">
        <w:rPr>
          <w:rFonts w:ascii="Humnst777 BT" w:hAnsi="Humnst777 BT"/>
          <w:i/>
          <w:sz w:val="20"/>
          <w:szCs w:val="20"/>
        </w:rPr>
        <w:t>Claim to possessory title of a box room in a block of flats.</w:t>
      </w:r>
    </w:p>
    <w:p w14:paraId="769F2D79" w14:textId="77777777" w:rsidR="00D053D0" w:rsidRPr="0080052C" w:rsidRDefault="00D053D0" w:rsidP="00D053D0">
      <w:pPr>
        <w:pStyle w:val="ListParagraph"/>
        <w:numPr>
          <w:ilvl w:val="0"/>
          <w:numId w:val="2"/>
        </w:numPr>
        <w:spacing w:after="120" w:line="360" w:lineRule="auto"/>
        <w:ind w:left="714" w:hanging="357"/>
        <w:contextualSpacing w:val="0"/>
        <w:rPr>
          <w:rFonts w:ascii="Humnst777 BT" w:hAnsi="Humnst777 BT"/>
          <w:i/>
          <w:sz w:val="20"/>
          <w:szCs w:val="20"/>
        </w:rPr>
      </w:pPr>
      <w:r w:rsidRPr="0080052C">
        <w:rPr>
          <w:rFonts w:ascii="Humnst777 BT" w:hAnsi="Humnst777 BT"/>
          <w:i/>
          <w:sz w:val="20"/>
          <w:szCs w:val="20"/>
        </w:rPr>
        <w:t>Serious disrepair claim involving subsidence affecting a house purchased under the ‘right to buy’ scheme</w:t>
      </w:r>
      <w:r>
        <w:rPr>
          <w:rFonts w:ascii="Humnst777 BT" w:hAnsi="Humnst777 BT"/>
          <w:i/>
          <w:sz w:val="20"/>
          <w:szCs w:val="20"/>
        </w:rPr>
        <w:t>.</w:t>
      </w:r>
    </w:p>
    <w:p w14:paraId="53A06F9F" w14:textId="77777777" w:rsidR="00D053D0" w:rsidRPr="0080052C" w:rsidRDefault="00D053D0" w:rsidP="00D053D0">
      <w:pPr>
        <w:pStyle w:val="ListParagraph"/>
        <w:numPr>
          <w:ilvl w:val="0"/>
          <w:numId w:val="2"/>
        </w:numPr>
        <w:spacing w:after="120" w:line="360" w:lineRule="auto"/>
        <w:ind w:left="714" w:hanging="357"/>
        <w:contextualSpacing w:val="0"/>
        <w:rPr>
          <w:rFonts w:ascii="Humnst777 BT" w:hAnsi="Humnst777 BT"/>
          <w:i/>
          <w:sz w:val="20"/>
          <w:szCs w:val="20"/>
        </w:rPr>
      </w:pPr>
      <w:r w:rsidRPr="0080052C">
        <w:rPr>
          <w:rFonts w:ascii="Humnst777 BT" w:hAnsi="Humnst777 BT"/>
          <w:i/>
          <w:sz w:val="20"/>
          <w:szCs w:val="20"/>
        </w:rPr>
        <w:t>A right of restitution arose immediately following overpayment. There was no requirement for the service of a demand for repayment other than in cases involving rescission. A landlord intending to levy distress should ensure that a tenant had no claims which could be offset against the outstanding rent by way of equitable set off.</w:t>
      </w:r>
    </w:p>
    <w:p w14:paraId="4CE6F98F" w14:textId="6BB01234" w:rsidR="00D053D0" w:rsidRPr="0080052C" w:rsidRDefault="00D053D0" w:rsidP="00D053D0">
      <w:pPr>
        <w:pStyle w:val="ListParagraph"/>
        <w:numPr>
          <w:ilvl w:val="0"/>
          <w:numId w:val="2"/>
        </w:numPr>
        <w:spacing w:after="120" w:line="360" w:lineRule="auto"/>
        <w:ind w:left="714" w:hanging="357"/>
        <w:contextualSpacing w:val="0"/>
        <w:rPr>
          <w:rFonts w:ascii="Humnst777 BT" w:hAnsi="Humnst777 BT"/>
          <w:i/>
          <w:strike/>
          <w:sz w:val="20"/>
          <w:szCs w:val="20"/>
        </w:rPr>
      </w:pPr>
      <w:r w:rsidRPr="0080052C">
        <w:rPr>
          <w:rFonts w:ascii="Humnst777 BT" w:hAnsi="Humnst777 BT"/>
          <w:i/>
          <w:sz w:val="20"/>
          <w:szCs w:val="20"/>
        </w:rPr>
        <w:t>Vendor was entitled to recover from the purchaser a deposit it had been paid in compliance with a freeholder’s demand under paragraph 2 schedule 2 Leasehold Reform (Collective Enfranchisement and Lease Renewal) Regulations 1993 SI 1993/2407, where the purchaser had received the benefit of the deposit by reduction in the purchase price of an extended lease.</w:t>
      </w:r>
    </w:p>
    <w:p w14:paraId="5400B1C6" w14:textId="77777777" w:rsidR="00D053D0" w:rsidRPr="0080052C" w:rsidRDefault="00D053D0" w:rsidP="00D053D0">
      <w:pPr>
        <w:pStyle w:val="ListParagraph"/>
        <w:numPr>
          <w:ilvl w:val="0"/>
          <w:numId w:val="2"/>
        </w:numPr>
        <w:spacing w:after="120" w:line="360" w:lineRule="auto"/>
        <w:ind w:left="714" w:hanging="357"/>
        <w:contextualSpacing w:val="0"/>
        <w:rPr>
          <w:rFonts w:ascii="Humnst777 BT" w:hAnsi="Humnst777 BT"/>
          <w:i/>
          <w:sz w:val="20"/>
          <w:szCs w:val="20"/>
        </w:rPr>
      </w:pPr>
      <w:r w:rsidRPr="0080052C">
        <w:rPr>
          <w:rFonts w:ascii="Humnst777 BT" w:hAnsi="Humnst777 BT"/>
          <w:i/>
          <w:sz w:val="20"/>
          <w:szCs w:val="20"/>
        </w:rPr>
        <w:t>The strength of the underlying challenge to an arbitral award in respect of a rent review under s.68 of the 1996 Act for serious irregularity was of critical importance.</w:t>
      </w:r>
    </w:p>
    <w:p w14:paraId="39B0D611" w14:textId="77777777" w:rsidR="00D053D0" w:rsidRPr="0080052C" w:rsidRDefault="00D053D0" w:rsidP="00D053D0">
      <w:pPr>
        <w:pStyle w:val="ListParagraph"/>
        <w:numPr>
          <w:ilvl w:val="0"/>
          <w:numId w:val="2"/>
        </w:numPr>
        <w:spacing w:after="120" w:line="360" w:lineRule="auto"/>
        <w:ind w:left="714" w:hanging="357"/>
        <w:contextualSpacing w:val="0"/>
        <w:rPr>
          <w:rFonts w:ascii="Humnst777 BT" w:hAnsi="Humnst777 BT"/>
          <w:i/>
          <w:sz w:val="20"/>
          <w:szCs w:val="20"/>
        </w:rPr>
      </w:pPr>
      <w:r w:rsidRPr="0080052C">
        <w:rPr>
          <w:rFonts w:ascii="Humnst777 BT" w:hAnsi="Humnst777 BT"/>
          <w:i/>
          <w:sz w:val="20"/>
          <w:szCs w:val="20"/>
        </w:rPr>
        <w:t>Appeared for the successful claimants in a trial to determine whether the court should exercise its discretion under s.19(1) of the Landlord and Tenant Act 1987 to order the defendant freeholder to sell a house converted into three flats to the Claimants, qualifying tenants, pursuant to s.12B of the Act.</w:t>
      </w:r>
    </w:p>
    <w:p w14:paraId="50111B8C" w14:textId="77777777" w:rsidR="00D053D0" w:rsidRPr="0080052C" w:rsidRDefault="00D053D0" w:rsidP="00D053D0">
      <w:pPr>
        <w:pStyle w:val="ListParagraph"/>
        <w:numPr>
          <w:ilvl w:val="0"/>
          <w:numId w:val="2"/>
        </w:numPr>
        <w:spacing w:after="120" w:line="360" w:lineRule="auto"/>
        <w:ind w:left="714" w:hanging="357"/>
        <w:contextualSpacing w:val="0"/>
        <w:rPr>
          <w:rFonts w:ascii="Humnst777 BT" w:hAnsi="Humnst777 BT"/>
          <w:i/>
          <w:sz w:val="20"/>
          <w:szCs w:val="20"/>
        </w:rPr>
      </w:pPr>
      <w:r w:rsidRPr="0080052C">
        <w:rPr>
          <w:rFonts w:ascii="Humnst777 BT" w:hAnsi="Humnst777 BT"/>
          <w:i/>
          <w:sz w:val="20"/>
          <w:szCs w:val="20"/>
        </w:rPr>
        <w:t>Trial considering whether the occupants of a property were simply tenants or had an irrevocable license protected by proprietary estoppel and/or a constructive trust.</w:t>
      </w:r>
    </w:p>
    <w:p w14:paraId="3B5AADBD" w14:textId="77777777" w:rsidR="00D053D0" w:rsidRDefault="00D053D0" w:rsidP="00D053D0">
      <w:pPr>
        <w:pStyle w:val="ListParagraph"/>
        <w:numPr>
          <w:ilvl w:val="0"/>
          <w:numId w:val="2"/>
        </w:numPr>
        <w:spacing w:after="120" w:line="360" w:lineRule="auto"/>
        <w:ind w:left="714" w:hanging="357"/>
        <w:contextualSpacing w:val="0"/>
        <w:rPr>
          <w:rFonts w:ascii="Humnst777 BT" w:hAnsi="Humnst777 BT"/>
          <w:i/>
          <w:sz w:val="20"/>
          <w:szCs w:val="20"/>
        </w:rPr>
      </w:pPr>
      <w:r w:rsidRPr="0080052C">
        <w:rPr>
          <w:rFonts w:ascii="Humnst777 BT" w:hAnsi="Humnst777 BT"/>
          <w:i/>
          <w:sz w:val="20"/>
          <w:szCs w:val="20"/>
        </w:rPr>
        <w:t>Appeared for the claimant company which obtained an interim injunction preventing the Defendant from interfering with its rights of occupation of the relevant premises, pending a hearing to determine whether it had a lease or a license thereof, and whether in purporting to terminate such rights, the Defendant had acted in accordance with its constitution.</w:t>
      </w:r>
    </w:p>
    <w:p w14:paraId="20C80A5F" w14:textId="77777777" w:rsidR="00D053D0" w:rsidRPr="0080052C" w:rsidRDefault="00D053D0" w:rsidP="00D053D0">
      <w:pPr>
        <w:pStyle w:val="ListParagraph"/>
        <w:numPr>
          <w:ilvl w:val="0"/>
          <w:numId w:val="2"/>
        </w:numPr>
        <w:spacing w:after="120" w:line="360" w:lineRule="auto"/>
        <w:ind w:left="714" w:hanging="357"/>
        <w:contextualSpacing w:val="0"/>
        <w:rPr>
          <w:rFonts w:ascii="Humnst777 BT" w:hAnsi="Humnst777 BT"/>
          <w:i/>
          <w:sz w:val="20"/>
          <w:szCs w:val="20"/>
        </w:rPr>
      </w:pPr>
      <w:r>
        <w:rPr>
          <w:rFonts w:ascii="Humnst777 BT" w:hAnsi="Humnst777 BT"/>
          <w:i/>
          <w:sz w:val="20"/>
          <w:szCs w:val="20"/>
        </w:rPr>
        <w:t>Dispute concerning whether a landlord had repudiated a lease by refusing to apply for an HMO license.</w:t>
      </w:r>
    </w:p>
    <w:p w14:paraId="3542A8C4" w14:textId="46DB3DE6" w:rsidR="00D053D0" w:rsidRDefault="00D053D0" w:rsidP="00D053D0">
      <w:pPr>
        <w:pStyle w:val="ListParagraph"/>
        <w:numPr>
          <w:ilvl w:val="0"/>
          <w:numId w:val="2"/>
        </w:numPr>
        <w:spacing w:after="120" w:line="360" w:lineRule="auto"/>
        <w:ind w:left="714" w:hanging="357"/>
        <w:contextualSpacing w:val="0"/>
        <w:rPr>
          <w:rFonts w:ascii="Humnst777 BT" w:hAnsi="Humnst777 BT"/>
          <w:i/>
          <w:sz w:val="20"/>
          <w:szCs w:val="20"/>
        </w:rPr>
      </w:pPr>
      <w:r w:rsidRPr="0080052C">
        <w:rPr>
          <w:rFonts w:ascii="Humnst777 BT" w:hAnsi="Humnst777 BT"/>
          <w:i/>
          <w:sz w:val="20"/>
          <w:szCs w:val="20"/>
        </w:rPr>
        <w:t>Appeared for the successful applicants: an increase in the market value of a property was not a change of circumstances within the meaning of subsection 12(7) of the Landlord and Tenant Act 1987.</w:t>
      </w:r>
    </w:p>
    <w:p w14:paraId="63E284E2" w14:textId="277C19CA" w:rsidR="00AE1AE0" w:rsidRPr="0080052C" w:rsidRDefault="0077087D" w:rsidP="00D053D0">
      <w:pPr>
        <w:pStyle w:val="ListParagraph"/>
        <w:numPr>
          <w:ilvl w:val="0"/>
          <w:numId w:val="2"/>
        </w:numPr>
        <w:spacing w:after="120" w:line="360" w:lineRule="auto"/>
        <w:ind w:left="714" w:hanging="357"/>
        <w:contextualSpacing w:val="0"/>
        <w:rPr>
          <w:rFonts w:ascii="Humnst777 BT" w:hAnsi="Humnst777 BT"/>
          <w:i/>
          <w:sz w:val="20"/>
          <w:szCs w:val="20"/>
        </w:rPr>
      </w:pPr>
      <w:r>
        <w:rPr>
          <w:rFonts w:ascii="Humnst777 BT" w:hAnsi="Humnst777 BT"/>
          <w:i/>
          <w:sz w:val="20"/>
          <w:szCs w:val="20"/>
        </w:rPr>
        <w:t xml:space="preserve">Representing the lessee of a hotel </w:t>
      </w:r>
      <w:r w:rsidR="00934E6D">
        <w:rPr>
          <w:rFonts w:ascii="Humnst777 BT" w:hAnsi="Humnst777 BT"/>
          <w:i/>
          <w:sz w:val="20"/>
          <w:szCs w:val="20"/>
        </w:rPr>
        <w:t xml:space="preserve">in his application for the renewal of his lease. </w:t>
      </w:r>
    </w:p>
    <w:p w14:paraId="59514144" w14:textId="77777777" w:rsidR="00D053D0" w:rsidRDefault="00D053D0" w:rsidP="00D053D0">
      <w:pPr>
        <w:spacing w:after="120" w:line="360" w:lineRule="auto"/>
        <w:rPr>
          <w:rFonts w:ascii="Humnst777 BT" w:hAnsi="Humnst777 BT"/>
          <w:b/>
          <w:color w:val="0070C0"/>
          <w:sz w:val="20"/>
          <w:szCs w:val="20"/>
        </w:rPr>
      </w:pPr>
    </w:p>
    <w:p w14:paraId="1D41B448" w14:textId="77777777" w:rsidR="00D053D0" w:rsidRPr="0080052C" w:rsidRDefault="00D053D0" w:rsidP="00D053D0">
      <w:pPr>
        <w:spacing w:after="120" w:line="360" w:lineRule="auto"/>
        <w:rPr>
          <w:rFonts w:ascii="Humnst777 BT" w:hAnsi="Humnst777 BT"/>
          <w:b/>
          <w:color w:val="0070C0"/>
          <w:sz w:val="20"/>
          <w:szCs w:val="20"/>
        </w:rPr>
      </w:pPr>
      <w:r w:rsidRPr="0080052C">
        <w:rPr>
          <w:rFonts w:ascii="Humnst777 BT" w:hAnsi="Humnst777 BT"/>
          <w:b/>
          <w:color w:val="0070C0"/>
          <w:sz w:val="20"/>
          <w:szCs w:val="20"/>
        </w:rPr>
        <w:lastRenderedPageBreak/>
        <w:t>Sale of Goods &amp; Services</w:t>
      </w:r>
    </w:p>
    <w:p w14:paraId="7CADFB2E" w14:textId="77777777" w:rsidR="00D053D0" w:rsidRPr="0080052C" w:rsidRDefault="00D053D0" w:rsidP="00D053D0">
      <w:pPr>
        <w:pStyle w:val="ListParagraph"/>
        <w:numPr>
          <w:ilvl w:val="0"/>
          <w:numId w:val="7"/>
        </w:numPr>
        <w:spacing w:after="120" w:line="360" w:lineRule="auto"/>
        <w:contextualSpacing w:val="0"/>
        <w:jc w:val="both"/>
        <w:rPr>
          <w:rFonts w:ascii="Humnst777 BT" w:hAnsi="Humnst777 BT"/>
          <w:sz w:val="20"/>
          <w:szCs w:val="20"/>
        </w:rPr>
      </w:pPr>
      <w:r w:rsidRPr="0080052C">
        <w:rPr>
          <w:rFonts w:ascii="Humnst777 BT" w:hAnsi="Humnst777 BT"/>
          <w:sz w:val="20"/>
          <w:szCs w:val="20"/>
        </w:rPr>
        <w:t>W clai</w:t>
      </w:r>
      <w:r>
        <w:rPr>
          <w:rFonts w:ascii="Humnst777 BT" w:hAnsi="Humnst777 BT"/>
          <w:sz w:val="20"/>
          <w:szCs w:val="20"/>
        </w:rPr>
        <w:t>med repayment of what he contended</w:t>
      </w:r>
      <w:r w:rsidRPr="0080052C">
        <w:rPr>
          <w:rFonts w:ascii="Humnst777 BT" w:hAnsi="Humnst777 BT"/>
          <w:sz w:val="20"/>
          <w:szCs w:val="20"/>
        </w:rPr>
        <w:t xml:space="preserve"> was money advanced to M by way of 32 payments over a period of 5.5 years pursuant to12 se</w:t>
      </w:r>
      <w:r>
        <w:rPr>
          <w:rFonts w:ascii="Humnst777 BT" w:hAnsi="Humnst777 BT"/>
          <w:sz w:val="20"/>
          <w:szCs w:val="20"/>
        </w:rPr>
        <w:t>parate loan agreements. M denied</w:t>
      </w:r>
      <w:r w:rsidRPr="0080052C">
        <w:rPr>
          <w:rFonts w:ascii="Humnst777 BT" w:hAnsi="Humnst777 BT"/>
          <w:sz w:val="20"/>
          <w:szCs w:val="20"/>
        </w:rPr>
        <w:t xml:space="preserve"> that he borrowed any money from W. He </w:t>
      </w:r>
      <w:r>
        <w:rPr>
          <w:rFonts w:ascii="Humnst777 BT" w:hAnsi="Humnst777 BT"/>
          <w:sz w:val="20"/>
          <w:szCs w:val="20"/>
        </w:rPr>
        <w:t>agreed</w:t>
      </w:r>
      <w:r w:rsidRPr="0080052C">
        <w:rPr>
          <w:rFonts w:ascii="Humnst777 BT" w:hAnsi="Humnst777 BT"/>
          <w:sz w:val="20"/>
          <w:szCs w:val="20"/>
        </w:rPr>
        <w:t xml:space="preserve"> the </w:t>
      </w:r>
      <w:r>
        <w:rPr>
          <w:rFonts w:ascii="Humnst777 BT" w:hAnsi="Humnst777 BT"/>
          <w:sz w:val="20"/>
          <w:szCs w:val="20"/>
        </w:rPr>
        <w:t xml:space="preserve">payments were </w:t>
      </w:r>
      <w:proofErr w:type="gramStart"/>
      <w:r>
        <w:rPr>
          <w:rFonts w:ascii="Humnst777 BT" w:hAnsi="Humnst777 BT"/>
          <w:sz w:val="20"/>
          <w:szCs w:val="20"/>
        </w:rPr>
        <w:t>made, but</w:t>
      </w:r>
      <w:proofErr w:type="gramEnd"/>
      <w:r>
        <w:rPr>
          <w:rFonts w:ascii="Humnst777 BT" w:hAnsi="Humnst777 BT"/>
          <w:sz w:val="20"/>
          <w:szCs w:val="20"/>
        </w:rPr>
        <w:t xml:space="preserve"> contended</w:t>
      </w:r>
      <w:r w:rsidRPr="0080052C">
        <w:rPr>
          <w:rFonts w:ascii="Humnst777 BT" w:hAnsi="Humnst777 BT"/>
          <w:sz w:val="20"/>
          <w:szCs w:val="20"/>
        </w:rPr>
        <w:t xml:space="preserve"> that they were payments for alternative medical services he provided to W and his family.</w:t>
      </w:r>
    </w:p>
    <w:p w14:paraId="398A096D" w14:textId="77777777" w:rsidR="00D053D0" w:rsidRDefault="00D053D0" w:rsidP="00D053D0">
      <w:pPr>
        <w:spacing w:after="120" w:line="360" w:lineRule="auto"/>
        <w:rPr>
          <w:rFonts w:ascii="Humnst777 BT" w:hAnsi="Humnst777 BT"/>
          <w:b/>
          <w:color w:val="0070C0"/>
          <w:sz w:val="20"/>
          <w:szCs w:val="20"/>
        </w:rPr>
      </w:pPr>
    </w:p>
    <w:p w14:paraId="7F985BDB" w14:textId="77777777" w:rsidR="00D053D0" w:rsidRPr="0080052C" w:rsidRDefault="00D053D0" w:rsidP="00D053D0">
      <w:pPr>
        <w:pStyle w:val="BodyText"/>
        <w:spacing w:after="120" w:line="360" w:lineRule="auto"/>
        <w:jc w:val="both"/>
        <w:rPr>
          <w:rFonts w:ascii="Humnst777 BT" w:hAnsi="Humnst777 BT"/>
          <w:b/>
          <w:bCs/>
          <w:iCs/>
          <w:color w:val="0070C0"/>
          <w:szCs w:val="20"/>
        </w:rPr>
      </w:pPr>
      <w:r w:rsidRPr="0080052C">
        <w:rPr>
          <w:rFonts w:ascii="Humnst777 BT" w:hAnsi="Humnst777 BT"/>
          <w:b/>
          <w:bCs/>
          <w:iCs/>
          <w:color w:val="0070C0"/>
          <w:szCs w:val="20"/>
        </w:rPr>
        <w:t>Sport</w:t>
      </w:r>
    </w:p>
    <w:p w14:paraId="1308E8C8" w14:textId="77777777" w:rsidR="00D053D0" w:rsidRPr="0080052C" w:rsidRDefault="00D053D0" w:rsidP="00D053D0">
      <w:pPr>
        <w:pStyle w:val="BodyText"/>
        <w:numPr>
          <w:ilvl w:val="0"/>
          <w:numId w:val="3"/>
        </w:numPr>
        <w:spacing w:after="120" w:line="360" w:lineRule="auto"/>
        <w:jc w:val="both"/>
        <w:rPr>
          <w:rFonts w:ascii="Humnst777 BT" w:hAnsi="Humnst777 BT"/>
          <w:bCs/>
          <w:i/>
          <w:iCs/>
          <w:szCs w:val="20"/>
        </w:rPr>
      </w:pPr>
      <w:r w:rsidRPr="0080052C">
        <w:rPr>
          <w:rFonts w:ascii="Humnst777 BT" w:hAnsi="Humnst777 BT"/>
          <w:bCs/>
          <w:i/>
          <w:iCs/>
          <w:szCs w:val="20"/>
        </w:rPr>
        <w:t>Acting for former World Boxing Champion in a proposed claim concerning intellectual property rights</w:t>
      </w:r>
      <w:r>
        <w:rPr>
          <w:rFonts w:ascii="Humnst777 BT" w:hAnsi="Humnst777 BT"/>
          <w:bCs/>
          <w:i/>
          <w:iCs/>
          <w:szCs w:val="20"/>
        </w:rPr>
        <w:t>.</w:t>
      </w:r>
    </w:p>
    <w:p w14:paraId="57D6FCD3" w14:textId="77777777" w:rsidR="00D053D0" w:rsidRPr="0080052C" w:rsidRDefault="00D053D0" w:rsidP="00D053D0">
      <w:pPr>
        <w:pStyle w:val="BodyText"/>
        <w:numPr>
          <w:ilvl w:val="0"/>
          <w:numId w:val="3"/>
        </w:numPr>
        <w:spacing w:after="120" w:line="360" w:lineRule="auto"/>
        <w:jc w:val="both"/>
        <w:rPr>
          <w:rFonts w:ascii="Humnst777 BT" w:hAnsi="Humnst777 BT"/>
          <w:bCs/>
          <w:i/>
          <w:iCs/>
          <w:szCs w:val="20"/>
        </w:rPr>
      </w:pPr>
      <w:r w:rsidRPr="0080052C">
        <w:rPr>
          <w:rFonts w:ascii="Humnst777 BT" w:hAnsi="Humnst777 BT"/>
          <w:bCs/>
          <w:i/>
          <w:iCs/>
          <w:szCs w:val="20"/>
        </w:rPr>
        <w:t>Representing an agent of a boxer in litigation with her former client</w:t>
      </w:r>
      <w:r>
        <w:rPr>
          <w:rFonts w:ascii="Humnst777 BT" w:hAnsi="Humnst777 BT"/>
          <w:bCs/>
          <w:i/>
          <w:iCs/>
          <w:szCs w:val="20"/>
        </w:rPr>
        <w:t>.</w:t>
      </w:r>
    </w:p>
    <w:p w14:paraId="6DADFF05" w14:textId="77777777" w:rsidR="00D053D0" w:rsidRDefault="00D053D0" w:rsidP="00D053D0">
      <w:pPr>
        <w:pStyle w:val="BodyText"/>
        <w:numPr>
          <w:ilvl w:val="0"/>
          <w:numId w:val="3"/>
        </w:numPr>
        <w:spacing w:after="120" w:line="360" w:lineRule="auto"/>
        <w:jc w:val="both"/>
        <w:rPr>
          <w:rFonts w:ascii="Humnst777 BT" w:hAnsi="Humnst777 BT"/>
          <w:bCs/>
          <w:i/>
          <w:iCs/>
          <w:szCs w:val="20"/>
        </w:rPr>
      </w:pPr>
      <w:r w:rsidRPr="0080052C">
        <w:rPr>
          <w:rFonts w:ascii="Humnst777 BT" w:hAnsi="Humnst777 BT"/>
          <w:bCs/>
          <w:i/>
          <w:iCs/>
          <w:szCs w:val="20"/>
        </w:rPr>
        <w:t>Acting for an insurance company responding to a claim by a sportswoman that they had used her image rights in a brochure without her permission</w:t>
      </w:r>
      <w:r>
        <w:rPr>
          <w:rFonts w:ascii="Humnst777 BT" w:hAnsi="Humnst777 BT"/>
          <w:bCs/>
          <w:i/>
          <w:iCs/>
          <w:szCs w:val="20"/>
        </w:rPr>
        <w:t>.</w:t>
      </w:r>
    </w:p>
    <w:p w14:paraId="471D50E3" w14:textId="77777777" w:rsidR="00D053D0" w:rsidRPr="0080052C" w:rsidRDefault="00D053D0" w:rsidP="00D053D0">
      <w:pPr>
        <w:pStyle w:val="BodyText"/>
        <w:numPr>
          <w:ilvl w:val="0"/>
          <w:numId w:val="3"/>
        </w:numPr>
        <w:spacing w:after="120" w:line="360" w:lineRule="auto"/>
        <w:jc w:val="both"/>
        <w:rPr>
          <w:rFonts w:ascii="Humnst777 BT" w:hAnsi="Humnst777 BT"/>
          <w:bCs/>
          <w:i/>
          <w:iCs/>
          <w:szCs w:val="20"/>
        </w:rPr>
      </w:pPr>
      <w:r>
        <w:rPr>
          <w:rFonts w:ascii="Humnst777 BT" w:hAnsi="Humnst777 BT"/>
          <w:bCs/>
          <w:i/>
          <w:iCs/>
          <w:szCs w:val="20"/>
        </w:rPr>
        <w:t xml:space="preserve">Advising a sportsman as to the status of his image rights in England. </w:t>
      </w:r>
    </w:p>
    <w:p w14:paraId="4AB4E7DC" w14:textId="77777777" w:rsidR="00D053D0" w:rsidRDefault="00D053D0" w:rsidP="00D053D0">
      <w:pPr>
        <w:spacing w:after="120" w:line="360" w:lineRule="auto"/>
        <w:rPr>
          <w:rFonts w:ascii="Humnst777 BT" w:hAnsi="Humnst777 BT"/>
          <w:b/>
          <w:color w:val="0070C0"/>
          <w:sz w:val="20"/>
          <w:szCs w:val="20"/>
        </w:rPr>
      </w:pPr>
    </w:p>
    <w:p w14:paraId="192FC322" w14:textId="77777777" w:rsidR="00D053D0" w:rsidRPr="0080052C" w:rsidRDefault="00D053D0" w:rsidP="00D053D0">
      <w:pPr>
        <w:spacing w:after="120" w:line="360" w:lineRule="auto"/>
        <w:rPr>
          <w:rFonts w:ascii="Humnst777 BT" w:hAnsi="Humnst777 BT"/>
          <w:b/>
          <w:color w:val="0070C0"/>
          <w:sz w:val="20"/>
          <w:szCs w:val="20"/>
        </w:rPr>
      </w:pPr>
      <w:r w:rsidRPr="0080052C">
        <w:rPr>
          <w:rFonts w:ascii="Humnst777 BT" w:hAnsi="Humnst777 BT"/>
          <w:b/>
          <w:color w:val="0070C0"/>
          <w:sz w:val="20"/>
          <w:szCs w:val="20"/>
        </w:rPr>
        <w:t>Trusts, Wills &amp; Probate</w:t>
      </w:r>
    </w:p>
    <w:p w14:paraId="585DAB85" w14:textId="545261BA" w:rsidR="00D053D0" w:rsidRDefault="00D053D0" w:rsidP="00D053D0">
      <w:pPr>
        <w:pStyle w:val="ListParagraph"/>
        <w:numPr>
          <w:ilvl w:val="0"/>
          <w:numId w:val="2"/>
        </w:numPr>
        <w:spacing w:after="120" w:line="360" w:lineRule="auto"/>
        <w:contextualSpacing w:val="0"/>
        <w:rPr>
          <w:rFonts w:ascii="Humnst777 BT" w:hAnsi="Humnst777 BT"/>
          <w:sz w:val="20"/>
          <w:szCs w:val="20"/>
        </w:rPr>
      </w:pPr>
      <w:r w:rsidRPr="0080052C">
        <w:rPr>
          <w:rFonts w:ascii="Humnst777 BT" w:hAnsi="Humnst777 BT"/>
          <w:sz w:val="20"/>
          <w:szCs w:val="20"/>
        </w:rPr>
        <w:t>Dispute between mother and son concerning the circumstances in which a property was purchased in the son’s name. The mother contended that the property was put in the son’s name, as it was to be renovated and sold, to avoid the payment of capital gains tax. The son contended it was a gift.</w:t>
      </w:r>
    </w:p>
    <w:p w14:paraId="777C102E" w14:textId="28595718" w:rsidR="00C50EA5" w:rsidRDefault="00C50EA5" w:rsidP="00D053D0">
      <w:pPr>
        <w:pStyle w:val="ListParagraph"/>
        <w:numPr>
          <w:ilvl w:val="0"/>
          <w:numId w:val="2"/>
        </w:numPr>
        <w:spacing w:after="120" w:line="360" w:lineRule="auto"/>
        <w:contextualSpacing w:val="0"/>
        <w:rPr>
          <w:rFonts w:ascii="Humnst777 BT" w:hAnsi="Humnst777 BT"/>
          <w:sz w:val="20"/>
          <w:szCs w:val="20"/>
        </w:rPr>
      </w:pPr>
      <w:r>
        <w:rPr>
          <w:rFonts w:ascii="Humnst777 BT" w:hAnsi="Humnst777 BT"/>
          <w:sz w:val="20"/>
          <w:szCs w:val="20"/>
        </w:rPr>
        <w:t xml:space="preserve">Inheritance </w:t>
      </w:r>
      <w:r w:rsidR="00B53E3C">
        <w:rPr>
          <w:rFonts w:ascii="Humnst777 BT" w:hAnsi="Humnst777 BT"/>
          <w:sz w:val="20"/>
          <w:szCs w:val="20"/>
        </w:rPr>
        <w:t>Act case</w:t>
      </w:r>
      <w:r w:rsidR="00867B7E">
        <w:rPr>
          <w:rFonts w:ascii="Humnst777 BT" w:hAnsi="Humnst777 BT"/>
          <w:sz w:val="20"/>
          <w:szCs w:val="20"/>
        </w:rPr>
        <w:t xml:space="preserve">: claim by spouse </w:t>
      </w:r>
      <w:r w:rsidR="00D32889">
        <w:rPr>
          <w:rFonts w:ascii="Humnst777 BT" w:hAnsi="Humnst777 BT"/>
          <w:sz w:val="20"/>
          <w:szCs w:val="20"/>
        </w:rPr>
        <w:t xml:space="preserve">of the deceased </w:t>
      </w:r>
      <w:r w:rsidR="00867B7E">
        <w:rPr>
          <w:rFonts w:ascii="Humnst777 BT" w:hAnsi="Humnst777 BT"/>
          <w:sz w:val="20"/>
          <w:szCs w:val="20"/>
        </w:rPr>
        <w:t>against the children of the first marriage</w:t>
      </w:r>
      <w:r w:rsidR="00D32889">
        <w:rPr>
          <w:rFonts w:ascii="Humnst777 BT" w:hAnsi="Humnst777 BT"/>
          <w:sz w:val="20"/>
          <w:szCs w:val="20"/>
        </w:rPr>
        <w:t>.</w:t>
      </w:r>
    </w:p>
    <w:p w14:paraId="2C4B82D7" w14:textId="67E72A73" w:rsidR="00ED343B" w:rsidRPr="008A3011" w:rsidRDefault="0047499E" w:rsidP="00D053D0">
      <w:pPr>
        <w:pStyle w:val="ListParagraph"/>
        <w:numPr>
          <w:ilvl w:val="0"/>
          <w:numId w:val="2"/>
        </w:numPr>
        <w:spacing w:after="120" w:line="360" w:lineRule="auto"/>
        <w:contextualSpacing w:val="0"/>
        <w:rPr>
          <w:rFonts w:ascii="Humnst777 BT" w:hAnsi="Humnst777 BT"/>
          <w:i/>
          <w:iCs/>
          <w:sz w:val="20"/>
          <w:szCs w:val="20"/>
        </w:rPr>
      </w:pPr>
      <w:r w:rsidRPr="008A3011">
        <w:rPr>
          <w:rFonts w:ascii="Humnst777 BT" w:hAnsi="Humnst777 BT"/>
          <w:i/>
          <w:iCs/>
          <w:sz w:val="20"/>
          <w:szCs w:val="20"/>
        </w:rPr>
        <w:t>Claim for an interest in a property relying on constructive trust and proprietary estoppel principles, reasonable financial</w:t>
      </w:r>
      <w:r w:rsidR="00ED343B" w:rsidRPr="008A3011">
        <w:rPr>
          <w:rFonts w:ascii="Humnst777 BT" w:hAnsi="Humnst777 BT"/>
          <w:i/>
          <w:iCs/>
          <w:sz w:val="20"/>
          <w:szCs w:val="20"/>
        </w:rPr>
        <w:t xml:space="preserve"> </w:t>
      </w:r>
      <w:r w:rsidRPr="008A3011">
        <w:rPr>
          <w:rFonts w:ascii="Humnst777 BT" w:hAnsi="Humnst777 BT"/>
          <w:i/>
          <w:iCs/>
          <w:sz w:val="20"/>
          <w:szCs w:val="20"/>
        </w:rPr>
        <w:t xml:space="preserve">provision under the Inheritance (Provision for Family and Dependants) Act 1975 </w:t>
      </w:r>
      <w:r w:rsidR="00ED343B" w:rsidRPr="008A3011">
        <w:rPr>
          <w:rFonts w:ascii="Humnst777 BT" w:hAnsi="Humnst777 BT"/>
          <w:i/>
          <w:iCs/>
          <w:sz w:val="20"/>
          <w:szCs w:val="20"/>
        </w:rPr>
        <w:t xml:space="preserve">and damages for unlawful eviction. </w:t>
      </w:r>
    </w:p>
    <w:p w14:paraId="355EA78F" w14:textId="347CA17A" w:rsidR="006C5A7B" w:rsidRPr="008A3011" w:rsidRDefault="00CB33F7" w:rsidP="00D053D0">
      <w:pPr>
        <w:pStyle w:val="ListParagraph"/>
        <w:numPr>
          <w:ilvl w:val="0"/>
          <w:numId w:val="2"/>
        </w:numPr>
        <w:spacing w:after="120" w:line="360" w:lineRule="auto"/>
        <w:contextualSpacing w:val="0"/>
        <w:rPr>
          <w:rFonts w:ascii="Humnst777 BT" w:hAnsi="Humnst777 BT"/>
          <w:i/>
          <w:iCs/>
          <w:sz w:val="20"/>
          <w:szCs w:val="20"/>
        </w:rPr>
      </w:pPr>
      <w:r w:rsidRPr="008A3011">
        <w:rPr>
          <w:rFonts w:ascii="Humnst777 BT" w:hAnsi="Humnst777 BT"/>
          <w:i/>
          <w:iCs/>
          <w:sz w:val="20"/>
          <w:szCs w:val="20"/>
        </w:rPr>
        <w:t xml:space="preserve">Appeared for the defendants, the administrators of </w:t>
      </w:r>
      <w:r w:rsidR="00056EA6" w:rsidRPr="008A3011">
        <w:rPr>
          <w:rFonts w:ascii="Humnst777 BT" w:hAnsi="Humnst777 BT"/>
          <w:i/>
          <w:iCs/>
          <w:sz w:val="20"/>
          <w:szCs w:val="20"/>
        </w:rPr>
        <w:t xml:space="preserve">the estate, who successfully defended the claim that they </w:t>
      </w:r>
      <w:r w:rsidR="0085761A" w:rsidRPr="008A3011">
        <w:rPr>
          <w:rFonts w:ascii="Humnst777 BT" w:hAnsi="Humnst777 BT"/>
          <w:i/>
          <w:iCs/>
          <w:sz w:val="20"/>
          <w:szCs w:val="20"/>
        </w:rPr>
        <w:t xml:space="preserve">had sold its main asset </w:t>
      </w:r>
      <w:r w:rsidR="003A5247" w:rsidRPr="008A3011">
        <w:rPr>
          <w:rFonts w:ascii="Humnst777 BT" w:hAnsi="Humnst777 BT"/>
          <w:i/>
          <w:iCs/>
          <w:sz w:val="20"/>
          <w:szCs w:val="20"/>
        </w:rPr>
        <w:t xml:space="preserve">at a substantial undervalue in order to deprive the claimant of an effective remedy under the Inheritance (Provision for Family and Dependents) Act 1975. </w:t>
      </w:r>
    </w:p>
    <w:p w14:paraId="2D243265" w14:textId="55DDF692" w:rsidR="00597424" w:rsidRPr="00B31739" w:rsidRDefault="00626819" w:rsidP="00D053D0">
      <w:pPr>
        <w:pStyle w:val="ListParagraph"/>
        <w:numPr>
          <w:ilvl w:val="0"/>
          <w:numId w:val="2"/>
        </w:numPr>
        <w:spacing w:after="120" w:line="360" w:lineRule="auto"/>
        <w:contextualSpacing w:val="0"/>
        <w:rPr>
          <w:rFonts w:ascii="Humnst777 BT" w:hAnsi="Humnst777 BT"/>
          <w:i/>
          <w:iCs/>
          <w:sz w:val="20"/>
          <w:szCs w:val="20"/>
        </w:rPr>
      </w:pPr>
      <w:r w:rsidRPr="00B31739">
        <w:rPr>
          <w:rFonts w:ascii="Humnst777 BT" w:hAnsi="Humnst777 BT"/>
          <w:i/>
          <w:iCs/>
          <w:sz w:val="20"/>
          <w:szCs w:val="20"/>
        </w:rPr>
        <w:t xml:space="preserve">Following the end of a relationship in which the parties had cohabited, claim for a beneficial interest </w:t>
      </w:r>
      <w:r w:rsidR="00D601D3" w:rsidRPr="00B31739">
        <w:rPr>
          <w:rFonts w:ascii="Humnst777 BT" w:hAnsi="Humnst777 BT"/>
          <w:i/>
          <w:iCs/>
          <w:sz w:val="20"/>
          <w:szCs w:val="20"/>
        </w:rPr>
        <w:t xml:space="preserve">in three investment properties, relying on a common intention constructive trust. </w:t>
      </w:r>
    </w:p>
    <w:p w14:paraId="041BF2C2" w14:textId="340444A0" w:rsidR="00ED343B" w:rsidRDefault="002009EF" w:rsidP="00C50EA5">
      <w:pPr>
        <w:pStyle w:val="ListParagraph"/>
        <w:numPr>
          <w:ilvl w:val="0"/>
          <w:numId w:val="2"/>
        </w:numPr>
        <w:spacing w:after="120" w:line="360" w:lineRule="auto"/>
        <w:contextualSpacing w:val="0"/>
        <w:rPr>
          <w:rFonts w:ascii="Humnst777 BT" w:hAnsi="Humnst777 BT"/>
          <w:i/>
          <w:iCs/>
          <w:sz w:val="20"/>
          <w:szCs w:val="20"/>
        </w:rPr>
      </w:pPr>
      <w:r w:rsidRPr="00B31739">
        <w:rPr>
          <w:rFonts w:ascii="Humnst777 BT" w:hAnsi="Humnst777 BT"/>
          <w:i/>
          <w:iCs/>
          <w:sz w:val="20"/>
          <w:szCs w:val="20"/>
        </w:rPr>
        <w:t xml:space="preserve">Application for the removal of a co-executor and </w:t>
      </w:r>
      <w:proofErr w:type="gramStart"/>
      <w:r w:rsidRPr="00B31739">
        <w:rPr>
          <w:rFonts w:ascii="Humnst777 BT" w:hAnsi="Humnst777 BT"/>
          <w:i/>
          <w:iCs/>
          <w:sz w:val="20"/>
          <w:szCs w:val="20"/>
        </w:rPr>
        <w:t>counter-application</w:t>
      </w:r>
      <w:proofErr w:type="gramEnd"/>
      <w:r w:rsidRPr="00B31739">
        <w:rPr>
          <w:rFonts w:ascii="Humnst777 BT" w:hAnsi="Humnst777 BT"/>
          <w:i/>
          <w:iCs/>
          <w:sz w:val="20"/>
          <w:szCs w:val="20"/>
        </w:rPr>
        <w:t xml:space="preserve"> for the appointment of an independent professional personal representative. </w:t>
      </w:r>
    </w:p>
    <w:p w14:paraId="22C987F7" w14:textId="5186615C" w:rsidR="00B97A7C" w:rsidRPr="00C50EA5" w:rsidRDefault="00B97A7C" w:rsidP="00C50EA5">
      <w:pPr>
        <w:pStyle w:val="ListParagraph"/>
        <w:numPr>
          <w:ilvl w:val="0"/>
          <w:numId w:val="2"/>
        </w:numPr>
        <w:spacing w:after="120" w:line="360" w:lineRule="auto"/>
        <w:contextualSpacing w:val="0"/>
        <w:rPr>
          <w:rFonts w:ascii="Humnst777 BT" w:hAnsi="Humnst777 BT"/>
          <w:i/>
          <w:iCs/>
          <w:sz w:val="20"/>
          <w:szCs w:val="20"/>
        </w:rPr>
      </w:pPr>
      <w:r>
        <w:rPr>
          <w:rFonts w:ascii="Humnst777 BT" w:hAnsi="Humnst777 BT"/>
          <w:i/>
          <w:iCs/>
          <w:sz w:val="20"/>
          <w:szCs w:val="20"/>
        </w:rPr>
        <w:t>Application for the removal of an executor</w:t>
      </w:r>
      <w:r w:rsidR="001D48EE">
        <w:rPr>
          <w:rFonts w:ascii="Humnst777 BT" w:hAnsi="Humnst777 BT"/>
          <w:i/>
          <w:iCs/>
          <w:sz w:val="20"/>
          <w:szCs w:val="20"/>
        </w:rPr>
        <w:t xml:space="preserve"> and appointment of an independent professional</w:t>
      </w:r>
      <w:r w:rsidR="004008CF">
        <w:rPr>
          <w:rFonts w:ascii="Humnst777 BT" w:hAnsi="Humnst777 BT"/>
          <w:i/>
          <w:iCs/>
          <w:sz w:val="20"/>
          <w:szCs w:val="20"/>
        </w:rPr>
        <w:t xml:space="preserve"> personal representative.</w:t>
      </w:r>
    </w:p>
    <w:p w14:paraId="1C89E1B0" w14:textId="77777777" w:rsidR="00D053D0" w:rsidRPr="0080052C" w:rsidRDefault="00D053D0" w:rsidP="00D053D0">
      <w:pPr>
        <w:pStyle w:val="ListParagraph"/>
        <w:numPr>
          <w:ilvl w:val="0"/>
          <w:numId w:val="2"/>
        </w:numPr>
        <w:spacing w:after="120" w:line="360" w:lineRule="auto"/>
        <w:contextualSpacing w:val="0"/>
        <w:rPr>
          <w:rFonts w:ascii="Humnst777 BT" w:hAnsi="Humnst777 BT"/>
          <w:b/>
          <w:i/>
          <w:sz w:val="20"/>
          <w:szCs w:val="20"/>
        </w:rPr>
      </w:pPr>
      <w:r w:rsidRPr="0080052C">
        <w:rPr>
          <w:rFonts w:ascii="Humnst777 BT" w:hAnsi="Humnst777 BT"/>
          <w:i/>
          <w:sz w:val="20"/>
          <w:szCs w:val="20"/>
        </w:rPr>
        <w:t>Appeared for the defendant who successfully resisted his son’s claim that he committed multiple breaches of trust and exercised undue influence over him in connection with a variation of trust.</w:t>
      </w:r>
    </w:p>
    <w:p w14:paraId="70A3E4A4" w14:textId="77777777" w:rsidR="00D053D0" w:rsidRPr="0080052C" w:rsidRDefault="00D053D0" w:rsidP="00D053D0">
      <w:pPr>
        <w:pStyle w:val="ListParagraph"/>
        <w:numPr>
          <w:ilvl w:val="0"/>
          <w:numId w:val="2"/>
        </w:numPr>
        <w:spacing w:after="120" w:line="360" w:lineRule="auto"/>
        <w:contextualSpacing w:val="0"/>
        <w:rPr>
          <w:rFonts w:ascii="Humnst777 BT" w:hAnsi="Humnst777 BT"/>
          <w:i/>
          <w:sz w:val="20"/>
          <w:szCs w:val="20"/>
        </w:rPr>
      </w:pPr>
      <w:r w:rsidRPr="0080052C">
        <w:rPr>
          <w:rFonts w:ascii="Humnst777 BT" w:hAnsi="Humnst777 BT"/>
          <w:i/>
          <w:sz w:val="20"/>
          <w:szCs w:val="20"/>
        </w:rPr>
        <w:lastRenderedPageBreak/>
        <w:t>Claim by the administrator of the estate of her late father for possession of the family home against her sister.</w:t>
      </w:r>
    </w:p>
    <w:p w14:paraId="5A876143" w14:textId="77777777" w:rsidR="00D053D0" w:rsidRPr="0080052C" w:rsidRDefault="00D053D0" w:rsidP="00D053D0">
      <w:pPr>
        <w:pStyle w:val="ListParagraph"/>
        <w:numPr>
          <w:ilvl w:val="0"/>
          <w:numId w:val="2"/>
        </w:numPr>
        <w:spacing w:after="120" w:line="360" w:lineRule="auto"/>
        <w:contextualSpacing w:val="0"/>
        <w:rPr>
          <w:rFonts w:ascii="Humnst777 BT" w:hAnsi="Humnst777 BT"/>
          <w:i/>
          <w:sz w:val="20"/>
          <w:szCs w:val="20"/>
        </w:rPr>
      </w:pPr>
      <w:r w:rsidRPr="0080052C">
        <w:rPr>
          <w:rFonts w:ascii="Humnst777 BT" w:hAnsi="Humnst777 BT"/>
          <w:i/>
          <w:sz w:val="20"/>
          <w:szCs w:val="20"/>
        </w:rPr>
        <w:t>The detriment required for the establishment of a constructive trust did not need to be great where there was an express agreement, and the making of a loan at an agreed rate could be regarded as sufficient detriment.</w:t>
      </w:r>
    </w:p>
    <w:p w14:paraId="16AB2095" w14:textId="77777777" w:rsidR="00D053D0" w:rsidRPr="0080052C" w:rsidRDefault="00D053D0" w:rsidP="00D053D0">
      <w:pPr>
        <w:pStyle w:val="ListParagraph"/>
        <w:numPr>
          <w:ilvl w:val="0"/>
          <w:numId w:val="2"/>
        </w:numPr>
        <w:spacing w:after="120" w:line="360" w:lineRule="auto"/>
        <w:contextualSpacing w:val="0"/>
        <w:rPr>
          <w:rFonts w:ascii="Humnst777 BT" w:hAnsi="Humnst777 BT"/>
          <w:i/>
          <w:sz w:val="20"/>
          <w:szCs w:val="20"/>
        </w:rPr>
      </w:pPr>
      <w:r w:rsidRPr="0080052C">
        <w:rPr>
          <w:rFonts w:ascii="Humnst777 BT" w:hAnsi="Humnst777 BT"/>
          <w:i/>
          <w:sz w:val="20"/>
          <w:szCs w:val="20"/>
        </w:rPr>
        <w:t>Appeared for the claimant who successfully claimed that a property in the name of her son, the defendant, was held for her on a resulting trust or that it was a gift procured by his undue influence.</w:t>
      </w:r>
    </w:p>
    <w:p w14:paraId="3E0DB46B" w14:textId="77777777" w:rsidR="00D053D0" w:rsidRPr="0080052C" w:rsidRDefault="00D053D0" w:rsidP="00D053D0">
      <w:pPr>
        <w:pStyle w:val="ListParagraph"/>
        <w:numPr>
          <w:ilvl w:val="0"/>
          <w:numId w:val="2"/>
        </w:numPr>
        <w:spacing w:after="120" w:line="360" w:lineRule="auto"/>
        <w:contextualSpacing w:val="0"/>
        <w:rPr>
          <w:rFonts w:ascii="Humnst777 BT" w:hAnsi="Humnst777 BT"/>
          <w:i/>
          <w:sz w:val="20"/>
          <w:szCs w:val="20"/>
        </w:rPr>
      </w:pPr>
      <w:r w:rsidRPr="0080052C">
        <w:rPr>
          <w:rFonts w:ascii="Humnst777 BT" w:hAnsi="Humnst777 BT"/>
          <w:i/>
          <w:sz w:val="20"/>
          <w:szCs w:val="20"/>
        </w:rPr>
        <w:t>Acting in proceedings between two brothers concerning allegations of breach of trust, undue influence and fraudulent misrepresentation in respect of a £2m trust fund</w:t>
      </w:r>
      <w:r>
        <w:rPr>
          <w:rFonts w:ascii="Humnst777 BT" w:hAnsi="Humnst777 BT"/>
          <w:i/>
          <w:sz w:val="20"/>
          <w:szCs w:val="20"/>
        </w:rPr>
        <w:t>.</w:t>
      </w:r>
    </w:p>
    <w:p w14:paraId="2ECF40DE" w14:textId="77777777" w:rsidR="00D053D0" w:rsidRPr="0080052C" w:rsidRDefault="00D053D0" w:rsidP="00D053D0">
      <w:pPr>
        <w:pStyle w:val="ListParagraph"/>
        <w:numPr>
          <w:ilvl w:val="0"/>
          <w:numId w:val="2"/>
        </w:numPr>
        <w:spacing w:after="120" w:line="360" w:lineRule="auto"/>
        <w:contextualSpacing w:val="0"/>
        <w:rPr>
          <w:rFonts w:ascii="Humnst777 BT" w:hAnsi="Humnst777 BT"/>
          <w:i/>
          <w:sz w:val="20"/>
          <w:szCs w:val="20"/>
        </w:rPr>
      </w:pPr>
      <w:r w:rsidRPr="0080052C">
        <w:rPr>
          <w:rFonts w:ascii="Humnst777 BT" w:hAnsi="Humnst777 BT"/>
          <w:color w:val="000000" w:themeColor="text1"/>
          <w:sz w:val="20"/>
          <w:szCs w:val="20"/>
        </w:rPr>
        <w:t>Family dispute concerning whether a son had beneficial interests in two properties held in the name of his parents</w:t>
      </w:r>
      <w:r>
        <w:rPr>
          <w:rFonts w:ascii="Humnst777 BT" w:hAnsi="Humnst777 BT"/>
          <w:color w:val="000000" w:themeColor="text1"/>
          <w:sz w:val="20"/>
          <w:szCs w:val="20"/>
        </w:rPr>
        <w:t>.</w:t>
      </w:r>
    </w:p>
    <w:p w14:paraId="5FF84FE0" w14:textId="77777777" w:rsidR="00D053D0" w:rsidRPr="006C790F" w:rsidRDefault="00D053D0" w:rsidP="00D053D0">
      <w:pPr>
        <w:pStyle w:val="ListParagraph"/>
        <w:numPr>
          <w:ilvl w:val="0"/>
          <w:numId w:val="2"/>
        </w:numPr>
        <w:spacing w:after="120" w:line="360" w:lineRule="auto"/>
        <w:contextualSpacing w:val="0"/>
        <w:rPr>
          <w:rFonts w:ascii="Humnst777 BT" w:hAnsi="Humnst777 BT"/>
          <w:i/>
          <w:color w:val="000000" w:themeColor="text1"/>
          <w:sz w:val="20"/>
          <w:szCs w:val="20"/>
        </w:rPr>
      </w:pPr>
      <w:r w:rsidRPr="0080052C">
        <w:rPr>
          <w:rFonts w:ascii="Humnst777 BT" w:hAnsi="Humnst777 BT"/>
          <w:color w:val="000000" w:themeColor="text1"/>
          <w:sz w:val="20"/>
          <w:szCs w:val="20"/>
        </w:rPr>
        <w:t>Contentious probate dispute where siblings were contesting their mother’s will and there were also various issues concerning the father’s will.</w:t>
      </w:r>
    </w:p>
    <w:p w14:paraId="541D2C4D" w14:textId="77777777" w:rsidR="00D053D0" w:rsidRDefault="00D053D0" w:rsidP="00D053D0">
      <w:pPr>
        <w:pStyle w:val="ListParagraph"/>
        <w:numPr>
          <w:ilvl w:val="0"/>
          <w:numId w:val="2"/>
        </w:numPr>
        <w:spacing w:after="120" w:line="360" w:lineRule="auto"/>
        <w:contextualSpacing w:val="0"/>
        <w:rPr>
          <w:rFonts w:ascii="Humnst777 BT" w:hAnsi="Humnst777 BT"/>
          <w:i/>
          <w:iCs/>
          <w:color w:val="000000" w:themeColor="text1"/>
          <w:sz w:val="20"/>
          <w:szCs w:val="20"/>
        </w:rPr>
      </w:pPr>
      <w:r w:rsidRPr="006E696E">
        <w:rPr>
          <w:rFonts w:ascii="Humnst777 BT" w:hAnsi="Humnst777 BT"/>
          <w:i/>
          <w:iCs/>
          <w:color w:val="000000" w:themeColor="text1"/>
          <w:sz w:val="20"/>
          <w:szCs w:val="20"/>
        </w:rPr>
        <w:t>Family dispute concerning a family home which two siblings wished to sell and one sibling wished to keep.</w:t>
      </w:r>
    </w:p>
    <w:p w14:paraId="7E395D56" w14:textId="77777777" w:rsidR="00D053D0" w:rsidRDefault="00D053D0" w:rsidP="00D053D0">
      <w:pPr>
        <w:pStyle w:val="ListParagraph"/>
        <w:numPr>
          <w:ilvl w:val="0"/>
          <w:numId w:val="2"/>
        </w:numPr>
        <w:spacing w:after="120" w:line="360" w:lineRule="auto"/>
        <w:contextualSpacing w:val="0"/>
        <w:rPr>
          <w:rFonts w:ascii="Humnst777 BT" w:hAnsi="Humnst777 BT"/>
          <w:i/>
          <w:iCs/>
          <w:color w:val="000000" w:themeColor="text1"/>
          <w:sz w:val="20"/>
          <w:szCs w:val="20"/>
        </w:rPr>
      </w:pPr>
      <w:r>
        <w:rPr>
          <w:rFonts w:ascii="Humnst777 BT" w:hAnsi="Humnst777 BT"/>
          <w:i/>
          <w:iCs/>
          <w:color w:val="000000" w:themeColor="text1"/>
          <w:sz w:val="20"/>
          <w:szCs w:val="20"/>
        </w:rPr>
        <w:t xml:space="preserve">Dispute as to whether, on the true interpretation of a will, the beneficiaries included nephews and nieces by affinity. </w:t>
      </w:r>
    </w:p>
    <w:p w14:paraId="79BEA480" w14:textId="77777777" w:rsidR="00D053D0" w:rsidRDefault="00D053D0" w:rsidP="00D053D0">
      <w:pPr>
        <w:pStyle w:val="ListParagraph"/>
        <w:numPr>
          <w:ilvl w:val="0"/>
          <w:numId w:val="2"/>
        </w:numPr>
        <w:spacing w:after="120" w:line="360" w:lineRule="auto"/>
        <w:contextualSpacing w:val="0"/>
        <w:rPr>
          <w:rFonts w:ascii="Humnst777 BT" w:hAnsi="Humnst777 BT"/>
          <w:i/>
          <w:iCs/>
          <w:color w:val="000000" w:themeColor="text1"/>
          <w:sz w:val="20"/>
          <w:szCs w:val="20"/>
        </w:rPr>
      </w:pPr>
      <w:r>
        <w:rPr>
          <w:rFonts w:ascii="Humnst777 BT" w:hAnsi="Humnst777 BT"/>
          <w:i/>
          <w:iCs/>
          <w:color w:val="000000" w:themeColor="text1"/>
          <w:sz w:val="20"/>
          <w:szCs w:val="20"/>
        </w:rPr>
        <w:t>Advising on whether allegedly overpaid pension credit should be repaid to the DWP.</w:t>
      </w:r>
    </w:p>
    <w:p w14:paraId="21B9B0DF" w14:textId="77777777" w:rsidR="00D053D0" w:rsidRDefault="00D053D0" w:rsidP="00D053D0">
      <w:pPr>
        <w:pStyle w:val="ListParagraph"/>
        <w:numPr>
          <w:ilvl w:val="0"/>
          <w:numId w:val="2"/>
        </w:numPr>
        <w:spacing w:after="120" w:line="360" w:lineRule="auto"/>
        <w:contextualSpacing w:val="0"/>
        <w:rPr>
          <w:rFonts w:ascii="Humnst777 BT" w:hAnsi="Humnst777 BT"/>
          <w:i/>
          <w:iCs/>
          <w:color w:val="000000" w:themeColor="text1"/>
          <w:sz w:val="20"/>
          <w:szCs w:val="20"/>
        </w:rPr>
      </w:pPr>
      <w:r>
        <w:rPr>
          <w:rFonts w:ascii="Humnst777 BT" w:hAnsi="Humnst777 BT"/>
          <w:i/>
          <w:iCs/>
          <w:color w:val="000000" w:themeColor="text1"/>
          <w:sz w:val="20"/>
          <w:szCs w:val="20"/>
        </w:rPr>
        <w:t>Advising a minor in an Inheritance Act case.</w:t>
      </w:r>
    </w:p>
    <w:p w14:paraId="1BF74E0C" w14:textId="7079F14D" w:rsidR="00611CE6" w:rsidRPr="004D5E49" w:rsidRDefault="00D053D0" w:rsidP="004D5E49">
      <w:pPr>
        <w:pStyle w:val="ListParagraph"/>
        <w:numPr>
          <w:ilvl w:val="0"/>
          <w:numId w:val="2"/>
        </w:numPr>
        <w:spacing w:after="120" w:line="360" w:lineRule="auto"/>
        <w:contextualSpacing w:val="0"/>
        <w:rPr>
          <w:rFonts w:ascii="Humnst777 BT" w:hAnsi="Humnst777 BT"/>
          <w:i/>
          <w:iCs/>
          <w:color w:val="000000" w:themeColor="text1"/>
          <w:sz w:val="20"/>
          <w:szCs w:val="20"/>
        </w:rPr>
      </w:pPr>
      <w:r>
        <w:rPr>
          <w:rFonts w:ascii="Humnst777 BT" w:hAnsi="Humnst777 BT"/>
          <w:i/>
          <w:iCs/>
          <w:color w:val="000000" w:themeColor="text1"/>
          <w:sz w:val="20"/>
          <w:szCs w:val="20"/>
        </w:rPr>
        <w:t>Advising an adult child in an Inheritance Act case.</w:t>
      </w:r>
    </w:p>
    <w:p w14:paraId="3845BE18" w14:textId="77777777" w:rsidR="00D053D0" w:rsidRPr="00B70EE6" w:rsidRDefault="00D053D0" w:rsidP="00D053D0">
      <w:pPr>
        <w:pStyle w:val="BodyText"/>
        <w:spacing w:after="120" w:line="360" w:lineRule="auto"/>
        <w:jc w:val="both"/>
        <w:rPr>
          <w:rFonts w:ascii="Humnst777 BT" w:hAnsi="Humnst777 BT"/>
          <w:b/>
          <w:bCs/>
          <w:i/>
          <w:iCs/>
          <w:sz w:val="12"/>
          <w:szCs w:val="20"/>
        </w:rPr>
      </w:pPr>
    </w:p>
    <w:bookmarkEnd w:id="0"/>
    <w:p w14:paraId="669A82BF" w14:textId="77777777" w:rsidR="00D053D0" w:rsidRPr="0080052C" w:rsidRDefault="00D053D0" w:rsidP="00D053D0">
      <w:pPr>
        <w:spacing w:after="120" w:line="360" w:lineRule="auto"/>
        <w:rPr>
          <w:rFonts w:ascii="Humnst777 BT" w:hAnsi="Humnst777 BT"/>
          <w:b/>
          <w:color w:val="0070C0"/>
          <w:sz w:val="20"/>
          <w:szCs w:val="20"/>
        </w:rPr>
      </w:pPr>
      <w:r>
        <w:rPr>
          <w:rFonts w:ascii="Humnst777 BT" w:hAnsi="Humnst777 BT"/>
          <w:b/>
          <w:color w:val="0070C0"/>
          <w:sz w:val="20"/>
          <w:szCs w:val="20"/>
        </w:rPr>
        <w:t xml:space="preserve">Personal </w:t>
      </w:r>
      <w:r w:rsidRPr="0080052C">
        <w:rPr>
          <w:rFonts w:ascii="Humnst777 BT" w:hAnsi="Humnst777 BT"/>
          <w:b/>
          <w:color w:val="0070C0"/>
          <w:sz w:val="20"/>
          <w:szCs w:val="20"/>
        </w:rPr>
        <w:t>Style</w:t>
      </w:r>
    </w:p>
    <w:p w14:paraId="5096C608" w14:textId="77777777" w:rsidR="00D053D0" w:rsidRDefault="00D053D0" w:rsidP="00D053D0">
      <w:pPr>
        <w:spacing w:after="120" w:line="360" w:lineRule="auto"/>
        <w:rPr>
          <w:rFonts w:ascii="Humnst777 BT" w:hAnsi="Humnst777 BT"/>
          <w:sz w:val="20"/>
          <w:szCs w:val="20"/>
        </w:rPr>
      </w:pPr>
      <w:r w:rsidRPr="0080052C">
        <w:rPr>
          <w:rFonts w:ascii="Humnst777 BT" w:hAnsi="Humnst777 BT"/>
          <w:sz w:val="20"/>
          <w:szCs w:val="20"/>
        </w:rPr>
        <w:t>Stephen brings a calm and measured authority to a dispute and his engaging personality is conducive to building rapport with the parties. He is known for thorough preparation which, combined with his commercial and legal experience, allows him to reality test very effectively.</w:t>
      </w:r>
    </w:p>
    <w:p w14:paraId="43380948" w14:textId="77777777" w:rsidR="00D053D0" w:rsidRPr="0080052C" w:rsidRDefault="00D053D0" w:rsidP="00D053D0">
      <w:pPr>
        <w:spacing w:after="120" w:line="360" w:lineRule="auto"/>
        <w:rPr>
          <w:rFonts w:ascii="Humnst777 BT" w:hAnsi="Humnst777 BT"/>
          <w:sz w:val="20"/>
          <w:szCs w:val="20"/>
        </w:rPr>
      </w:pPr>
    </w:p>
    <w:p w14:paraId="57C8E9F8" w14:textId="77777777" w:rsidR="00D053D0" w:rsidRPr="0080052C" w:rsidRDefault="00D053D0" w:rsidP="00D053D0">
      <w:pPr>
        <w:spacing w:after="120" w:line="360" w:lineRule="auto"/>
        <w:rPr>
          <w:rFonts w:ascii="Humnst777 BT" w:hAnsi="Humnst777 BT"/>
          <w:sz w:val="20"/>
          <w:szCs w:val="20"/>
        </w:rPr>
      </w:pPr>
      <w:r w:rsidRPr="0080052C">
        <w:rPr>
          <w:rFonts w:ascii="Humnst777 BT" w:hAnsi="Humnst777 BT"/>
          <w:sz w:val="20"/>
          <w:szCs w:val="20"/>
        </w:rPr>
        <w:t xml:space="preserve">He tries to think ‘out of the box’ to resolve even the most intractable dispute.  </w:t>
      </w:r>
    </w:p>
    <w:p w14:paraId="51C4AEA0" w14:textId="77777777" w:rsidR="00D053D0" w:rsidRPr="00F5161E" w:rsidRDefault="00D053D0" w:rsidP="00D053D0">
      <w:pPr>
        <w:spacing w:after="120" w:line="360" w:lineRule="auto"/>
        <w:rPr>
          <w:rFonts w:ascii="Humnst777 BT" w:hAnsi="Humnst777 BT"/>
          <w:sz w:val="16"/>
          <w:szCs w:val="20"/>
        </w:rPr>
      </w:pPr>
    </w:p>
    <w:p w14:paraId="016C20AC" w14:textId="77777777" w:rsidR="00D053D0" w:rsidRPr="0080052C" w:rsidRDefault="00D053D0" w:rsidP="00D053D0">
      <w:pPr>
        <w:spacing w:after="120" w:line="360" w:lineRule="auto"/>
        <w:rPr>
          <w:rFonts w:ascii="Humnst777 BT" w:hAnsi="Humnst777 BT"/>
          <w:b/>
          <w:color w:val="0070C0"/>
          <w:sz w:val="20"/>
          <w:szCs w:val="20"/>
        </w:rPr>
      </w:pPr>
      <w:r w:rsidRPr="0080052C">
        <w:rPr>
          <w:rFonts w:ascii="Humnst777 BT" w:hAnsi="Humnst777 BT"/>
          <w:b/>
          <w:color w:val="0070C0"/>
          <w:sz w:val="20"/>
          <w:szCs w:val="20"/>
        </w:rPr>
        <w:t>Feedback</w:t>
      </w:r>
    </w:p>
    <w:p w14:paraId="2C2E1338" w14:textId="77777777" w:rsidR="00D053D0" w:rsidRDefault="00D053D0" w:rsidP="00D053D0">
      <w:pPr>
        <w:pStyle w:val="ListParagraph"/>
        <w:numPr>
          <w:ilvl w:val="0"/>
          <w:numId w:val="4"/>
        </w:numPr>
        <w:spacing w:after="120" w:line="360" w:lineRule="auto"/>
        <w:ind w:left="714" w:hanging="357"/>
        <w:contextualSpacing w:val="0"/>
        <w:rPr>
          <w:rFonts w:ascii="Humnst777 BT" w:hAnsi="Humnst777 BT"/>
          <w:sz w:val="20"/>
          <w:szCs w:val="20"/>
        </w:rPr>
      </w:pPr>
      <w:r>
        <w:rPr>
          <w:rFonts w:ascii="Humnst777 BT" w:hAnsi="Humnst777 BT"/>
          <w:i/>
          <w:sz w:val="20"/>
          <w:szCs w:val="20"/>
        </w:rPr>
        <w:t>“Stephen Boyd mediated an acrimonious and difficult dispute. It was a partnership dispute between family members over property worth a few million pounds. He was courteous, able and focussed. Stephen was able to build a rapport with the parties to ensure that enough trust was built so that a settlement was reached. I was impressed with Stephen’s grip on the issues and the fact that he went the extra mile to make sure that heads of terms were agreed. I would certainly use Stephen again for mediation.”</w:t>
      </w:r>
    </w:p>
    <w:p w14:paraId="7EA40FAD" w14:textId="77777777" w:rsidR="00D053D0" w:rsidRPr="00D9391D" w:rsidRDefault="00D053D0" w:rsidP="00D053D0">
      <w:pPr>
        <w:pStyle w:val="ListParagraph"/>
        <w:numPr>
          <w:ilvl w:val="0"/>
          <w:numId w:val="8"/>
        </w:numPr>
        <w:spacing w:after="120" w:line="360" w:lineRule="auto"/>
        <w:jc w:val="right"/>
        <w:rPr>
          <w:rFonts w:ascii="Humnst777 BT" w:hAnsi="Humnst777 BT"/>
          <w:sz w:val="20"/>
          <w:szCs w:val="20"/>
        </w:rPr>
      </w:pPr>
      <w:r>
        <w:rPr>
          <w:rFonts w:ascii="Humnst777 BT" w:hAnsi="Humnst777 BT"/>
          <w:sz w:val="20"/>
          <w:szCs w:val="20"/>
        </w:rPr>
        <w:t>Gary Blaker QC</w:t>
      </w:r>
    </w:p>
    <w:p w14:paraId="76FA5E5C" w14:textId="77777777" w:rsidR="00D053D0" w:rsidRPr="008679B8" w:rsidRDefault="00D053D0" w:rsidP="00D053D0">
      <w:pPr>
        <w:pStyle w:val="ListParagraph"/>
        <w:numPr>
          <w:ilvl w:val="0"/>
          <w:numId w:val="4"/>
        </w:numPr>
        <w:spacing w:after="120" w:line="360" w:lineRule="auto"/>
        <w:ind w:left="714" w:hanging="357"/>
        <w:contextualSpacing w:val="0"/>
        <w:rPr>
          <w:rFonts w:ascii="Humnst777 BT" w:hAnsi="Humnst777 BT"/>
          <w:sz w:val="20"/>
          <w:szCs w:val="20"/>
        </w:rPr>
      </w:pPr>
      <w:r>
        <w:rPr>
          <w:rFonts w:ascii="Humnst777 BT" w:hAnsi="Humnst777 BT"/>
          <w:i/>
          <w:sz w:val="20"/>
          <w:szCs w:val="20"/>
        </w:rPr>
        <w:lastRenderedPageBreak/>
        <w:t xml:space="preserve"> “I thought you were </w:t>
      </w:r>
      <w:proofErr w:type="gramStart"/>
      <w:r>
        <w:rPr>
          <w:rFonts w:ascii="Humnst777 BT" w:hAnsi="Humnst777 BT"/>
          <w:i/>
          <w:sz w:val="20"/>
          <w:szCs w:val="20"/>
        </w:rPr>
        <w:t>pitch-perfect</w:t>
      </w:r>
      <w:proofErr w:type="gramEnd"/>
      <w:r>
        <w:rPr>
          <w:rFonts w:ascii="Humnst777 BT" w:hAnsi="Humnst777 BT"/>
          <w:i/>
          <w:sz w:val="20"/>
          <w:szCs w:val="20"/>
        </w:rPr>
        <w:t xml:space="preserve"> as a mediator: a very calming presence amongst some potentially hotter heads, with what seemed to me to be very well judged levels of prodding and well-timed interventions.”</w:t>
      </w:r>
    </w:p>
    <w:p w14:paraId="7E02F76A" w14:textId="77777777" w:rsidR="00D053D0" w:rsidRDefault="00D053D0" w:rsidP="00D053D0">
      <w:pPr>
        <w:pStyle w:val="ListParagraph"/>
        <w:spacing w:after="120" w:line="360" w:lineRule="auto"/>
        <w:ind w:left="1440"/>
        <w:jc w:val="right"/>
        <w:rPr>
          <w:rFonts w:ascii="Humnst777 BT" w:hAnsi="Humnst777 BT"/>
          <w:sz w:val="16"/>
          <w:szCs w:val="20"/>
        </w:rPr>
      </w:pPr>
      <w:r>
        <w:rPr>
          <w:rFonts w:ascii="Humnst777 BT" w:hAnsi="Humnst777 BT"/>
          <w:sz w:val="16"/>
          <w:szCs w:val="20"/>
        </w:rPr>
        <w:t xml:space="preserve">Kavan Gunaratna, </w:t>
      </w:r>
      <w:r w:rsidRPr="008679B8">
        <w:rPr>
          <w:rFonts w:ascii="Humnst777 BT" w:hAnsi="Humnst777 BT"/>
          <w:sz w:val="16"/>
          <w:szCs w:val="20"/>
        </w:rPr>
        <w:t>Barrister</w:t>
      </w:r>
    </w:p>
    <w:p w14:paraId="52DA916C" w14:textId="77777777" w:rsidR="00D053D0" w:rsidRPr="008679B8" w:rsidRDefault="00D053D0" w:rsidP="00D053D0">
      <w:pPr>
        <w:pStyle w:val="ListParagraph"/>
        <w:spacing w:after="120" w:line="360" w:lineRule="auto"/>
        <w:ind w:left="1440"/>
        <w:jc w:val="right"/>
        <w:rPr>
          <w:rFonts w:ascii="Humnst777 BT" w:hAnsi="Humnst777 BT"/>
          <w:sz w:val="8"/>
          <w:szCs w:val="20"/>
        </w:rPr>
      </w:pPr>
    </w:p>
    <w:p w14:paraId="2609B613" w14:textId="77777777" w:rsidR="00D053D0" w:rsidRPr="00B70EE6" w:rsidRDefault="00D053D0" w:rsidP="00D053D0">
      <w:pPr>
        <w:pStyle w:val="ListParagraph"/>
        <w:numPr>
          <w:ilvl w:val="0"/>
          <w:numId w:val="4"/>
        </w:numPr>
        <w:spacing w:after="120" w:line="360" w:lineRule="auto"/>
        <w:ind w:left="714" w:hanging="357"/>
        <w:contextualSpacing w:val="0"/>
        <w:rPr>
          <w:rFonts w:ascii="Humnst777 BT" w:hAnsi="Humnst777 BT"/>
          <w:sz w:val="20"/>
          <w:szCs w:val="20"/>
        </w:rPr>
      </w:pPr>
      <w:r w:rsidRPr="0080052C">
        <w:rPr>
          <w:rFonts w:ascii="Humnst777 BT" w:hAnsi="Humnst777 BT"/>
          <w:i/>
          <w:sz w:val="20"/>
          <w:szCs w:val="20"/>
        </w:rPr>
        <w:t xml:space="preserve">“Stephen was very in control of the whole process and clearly had the respect of all parties. I very much enjoyed working with him – great! A </w:t>
      </w:r>
      <w:proofErr w:type="gramStart"/>
      <w:r w:rsidRPr="0080052C">
        <w:rPr>
          <w:rFonts w:ascii="Humnst777 BT" w:hAnsi="Humnst777 BT"/>
          <w:i/>
          <w:sz w:val="20"/>
          <w:szCs w:val="20"/>
        </w:rPr>
        <w:t>really positive</w:t>
      </w:r>
      <w:proofErr w:type="gramEnd"/>
      <w:r w:rsidRPr="0080052C">
        <w:rPr>
          <w:rFonts w:ascii="Humnst777 BT" w:hAnsi="Humnst777 BT"/>
          <w:i/>
          <w:sz w:val="20"/>
          <w:szCs w:val="20"/>
        </w:rPr>
        <w:t xml:space="preserve"> experience</w:t>
      </w:r>
      <w:r>
        <w:rPr>
          <w:rFonts w:ascii="Humnst777 BT" w:hAnsi="Humnst777 BT"/>
          <w:i/>
          <w:sz w:val="20"/>
          <w:szCs w:val="20"/>
        </w:rPr>
        <w:t>.</w:t>
      </w:r>
      <w:r w:rsidRPr="0080052C">
        <w:rPr>
          <w:rFonts w:ascii="Humnst777 BT" w:hAnsi="Humnst777 BT"/>
          <w:i/>
          <w:sz w:val="20"/>
          <w:szCs w:val="20"/>
        </w:rPr>
        <w:t xml:space="preserve">” </w:t>
      </w:r>
    </w:p>
    <w:p w14:paraId="5D9AC893" w14:textId="77777777" w:rsidR="00D053D0" w:rsidRPr="00B70EE6" w:rsidRDefault="00D053D0" w:rsidP="00D053D0">
      <w:pPr>
        <w:pStyle w:val="ListParagraph"/>
        <w:spacing w:after="120" w:line="360" w:lineRule="auto"/>
        <w:ind w:left="1440"/>
        <w:contextualSpacing w:val="0"/>
        <w:jc w:val="right"/>
        <w:rPr>
          <w:rFonts w:ascii="Humnst777 BT" w:hAnsi="Humnst777 BT"/>
          <w:sz w:val="16"/>
          <w:szCs w:val="16"/>
        </w:rPr>
      </w:pPr>
      <w:r w:rsidRPr="00B70EE6">
        <w:rPr>
          <w:rFonts w:ascii="Humnst777 BT" w:hAnsi="Humnst777 BT"/>
          <w:sz w:val="16"/>
          <w:szCs w:val="16"/>
        </w:rPr>
        <w:t>Jackie Miller – assistant mediator</w:t>
      </w:r>
    </w:p>
    <w:p w14:paraId="160D88CB" w14:textId="77777777" w:rsidR="00D053D0" w:rsidRDefault="00D053D0" w:rsidP="00D053D0">
      <w:pPr>
        <w:pStyle w:val="ListParagraph"/>
        <w:numPr>
          <w:ilvl w:val="0"/>
          <w:numId w:val="4"/>
        </w:numPr>
        <w:spacing w:after="120" w:line="360" w:lineRule="auto"/>
        <w:ind w:left="714" w:hanging="357"/>
        <w:contextualSpacing w:val="0"/>
        <w:rPr>
          <w:rFonts w:ascii="Humnst777 BT" w:hAnsi="Humnst777 BT"/>
          <w:sz w:val="20"/>
          <w:szCs w:val="20"/>
        </w:rPr>
      </w:pPr>
      <w:r w:rsidRPr="0080052C">
        <w:rPr>
          <w:rFonts w:ascii="Humnst777 BT" w:hAnsi="Humnst777 BT"/>
          <w:i/>
          <w:sz w:val="20"/>
          <w:szCs w:val="20"/>
        </w:rPr>
        <w:t>“Stephen put the parties easily at their ease and quickly built up a good rapport with all concerned. His mediation style is very relaxed but authoritative without seeming partial or judgmental</w:t>
      </w:r>
      <w:r>
        <w:rPr>
          <w:rFonts w:ascii="Humnst777 BT" w:hAnsi="Humnst777 BT"/>
          <w:i/>
          <w:sz w:val="20"/>
          <w:szCs w:val="20"/>
        </w:rPr>
        <w:t>.</w:t>
      </w:r>
      <w:r w:rsidRPr="0080052C">
        <w:rPr>
          <w:rFonts w:ascii="Humnst777 BT" w:hAnsi="Humnst777 BT"/>
          <w:i/>
          <w:sz w:val="20"/>
          <w:szCs w:val="20"/>
        </w:rPr>
        <w:t>”</w:t>
      </w:r>
      <w:r w:rsidRPr="0080052C">
        <w:rPr>
          <w:rFonts w:ascii="Humnst777 BT" w:hAnsi="Humnst777 BT"/>
          <w:sz w:val="20"/>
          <w:szCs w:val="20"/>
        </w:rPr>
        <w:t xml:space="preserve"> </w:t>
      </w:r>
    </w:p>
    <w:p w14:paraId="2045A1F9" w14:textId="77777777" w:rsidR="00D053D0" w:rsidRPr="00B70EE6" w:rsidRDefault="00D053D0" w:rsidP="00D053D0">
      <w:pPr>
        <w:pStyle w:val="ListParagraph"/>
        <w:spacing w:after="120" w:line="360" w:lineRule="auto"/>
        <w:ind w:left="1440"/>
        <w:contextualSpacing w:val="0"/>
        <w:jc w:val="right"/>
        <w:rPr>
          <w:rFonts w:ascii="Humnst777 BT" w:hAnsi="Humnst777 BT"/>
          <w:sz w:val="16"/>
          <w:szCs w:val="16"/>
        </w:rPr>
      </w:pPr>
      <w:r w:rsidRPr="00B70EE6">
        <w:rPr>
          <w:rFonts w:ascii="Humnst777 BT" w:hAnsi="Humnst777 BT"/>
          <w:sz w:val="16"/>
          <w:szCs w:val="16"/>
        </w:rPr>
        <w:t>Kevin Moses – assistant mediator</w:t>
      </w:r>
    </w:p>
    <w:p w14:paraId="2A639936" w14:textId="77777777" w:rsidR="00D053D0" w:rsidRPr="00B70EE6" w:rsidRDefault="00D053D0" w:rsidP="00D053D0">
      <w:pPr>
        <w:pStyle w:val="ListParagraph"/>
        <w:numPr>
          <w:ilvl w:val="0"/>
          <w:numId w:val="4"/>
        </w:numPr>
        <w:spacing w:after="120" w:line="360" w:lineRule="auto"/>
        <w:ind w:left="714" w:hanging="357"/>
        <w:contextualSpacing w:val="0"/>
        <w:rPr>
          <w:rFonts w:ascii="Humnst777 BT" w:hAnsi="Humnst777 BT"/>
          <w:i/>
          <w:sz w:val="20"/>
          <w:szCs w:val="20"/>
        </w:rPr>
      </w:pPr>
      <w:r w:rsidRPr="0080052C">
        <w:rPr>
          <w:rFonts w:ascii="Humnst777 BT" w:hAnsi="Humnst777 BT"/>
          <w:i/>
          <w:sz w:val="20"/>
          <w:szCs w:val="20"/>
        </w:rPr>
        <w:t>“He remained calm when a lawyer on one side was challenging his authority and he was very good in summarising the reasons for the financial amounts discussed and moving the parties forward</w:t>
      </w:r>
      <w:r>
        <w:rPr>
          <w:rFonts w:ascii="Humnst777 BT" w:hAnsi="Humnst777 BT"/>
          <w:i/>
          <w:sz w:val="20"/>
          <w:szCs w:val="20"/>
        </w:rPr>
        <w:t>.</w:t>
      </w:r>
      <w:r w:rsidRPr="0080052C">
        <w:rPr>
          <w:rFonts w:ascii="Humnst777 BT" w:hAnsi="Humnst777 BT"/>
          <w:sz w:val="20"/>
          <w:szCs w:val="20"/>
        </w:rPr>
        <w:t>”</w:t>
      </w:r>
    </w:p>
    <w:p w14:paraId="49F97898" w14:textId="77777777" w:rsidR="00D053D0" w:rsidRPr="00B70EE6" w:rsidRDefault="00D053D0" w:rsidP="00D053D0">
      <w:pPr>
        <w:pStyle w:val="ListParagraph"/>
        <w:spacing w:after="120" w:line="360" w:lineRule="auto"/>
        <w:ind w:left="714"/>
        <w:contextualSpacing w:val="0"/>
        <w:jc w:val="right"/>
        <w:rPr>
          <w:rFonts w:ascii="Humnst777 BT" w:hAnsi="Humnst777 BT"/>
          <w:i/>
          <w:sz w:val="16"/>
          <w:szCs w:val="20"/>
        </w:rPr>
      </w:pPr>
      <w:r>
        <w:rPr>
          <w:rFonts w:ascii="Humnst777 BT" w:hAnsi="Humnst777 BT"/>
          <w:i/>
          <w:sz w:val="16"/>
          <w:szCs w:val="20"/>
        </w:rPr>
        <w:t xml:space="preserve"> </w:t>
      </w:r>
      <w:r w:rsidRPr="00B70EE6">
        <w:rPr>
          <w:rFonts w:ascii="Humnst777 BT" w:hAnsi="Humnst777 BT"/>
          <w:sz w:val="16"/>
          <w:szCs w:val="20"/>
        </w:rPr>
        <w:t xml:space="preserve">Pamela </w:t>
      </w:r>
      <w:proofErr w:type="spellStart"/>
      <w:r w:rsidRPr="00B70EE6">
        <w:rPr>
          <w:rFonts w:ascii="Humnst777 BT" w:hAnsi="Humnst777 BT"/>
          <w:sz w:val="16"/>
          <w:szCs w:val="20"/>
        </w:rPr>
        <w:t>Sellman</w:t>
      </w:r>
      <w:proofErr w:type="spellEnd"/>
      <w:r w:rsidRPr="00B70EE6">
        <w:rPr>
          <w:rFonts w:ascii="Humnst777 BT" w:hAnsi="Humnst777 BT"/>
          <w:sz w:val="16"/>
          <w:szCs w:val="20"/>
        </w:rPr>
        <w:t xml:space="preserve"> – assistant mediator</w:t>
      </w:r>
    </w:p>
    <w:p w14:paraId="0294401B" w14:textId="77777777" w:rsidR="00D053D0" w:rsidRPr="00B70EE6" w:rsidRDefault="00D053D0" w:rsidP="00D053D0">
      <w:pPr>
        <w:pStyle w:val="ListParagraph"/>
        <w:numPr>
          <w:ilvl w:val="0"/>
          <w:numId w:val="4"/>
        </w:numPr>
        <w:spacing w:after="120" w:line="360" w:lineRule="auto"/>
        <w:ind w:left="714" w:hanging="357"/>
        <w:contextualSpacing w:val="0"/>
        <w:rPr>
          <w:rFonts w:ascii="Humnst777 BT" w:hAnsi="Humnst777 BT"/>
          <w:i/>
          <w:sz w:val="20"/>
          <w:szCs w:val="20"/>
        </w:rPr>
      </w:pPr>
      <w:r w:rsidRPr="0080052C">
        <w:rPr>
          <w:rFonts w:ascii="Humnst777 BT" w:hAnsi="Humnst777 BT"/>
          <w:i/>
          <w:sz w:val="20"/>
          <w:szCs w:val="20"/>
        </w:rPr>
        <w:t>“A calm, confident and analytical mediator, who had clearly prepared well with a comprehensive chronology</w:t>
      </w:r>
      <w:r>
        <w:rPr>
          <w:rFonts w:ascii="Humnst777 BT" w:hAnsi="Humnst777 BT"/>
          <w:i/>
          <w:sz w:val="20"/>
          <w:szCs w:val="20"/>
        </w:rPr>
        <w:t>.</w:t>
      </w:r>
      <w:r w:rsidRPr="0080052C">
        <w:rPr>
          <w:rFonts w:ascii="Humnst777 BT" w:hAnsi="Humnst777 BT"/>
          <w:i/>
          <w:sz w:val="20"/>
          <w:szCs w:val="20"/>
        </w:rPr>
        <w:t>”</w:t>
      </w:r>
      <w:r w:rsidRPr="0080052C">
        <w:rPr>
          <w:rFonts w:ascii="Humnst777 BT" w:hAnsi="Humnst777 BT"/>
          <w:sz w:val="20"/>
          <w:szCs w:val="20"/>
        </w:rPr>
        <w:t xml:space="preserve"> </w:t>
      </w:r>
    </w:p>
    <w:p w14:paraId="0C6BF9F8" w14:textId="77777777" w:rsidR="00D053D0" w:rsidRPr="00B70EE6" w:rsidRDefault="00D053D0" w:rsidP="00D053D0">
      <w:pPr>
        <w:pStyle w:val="ListParagraph"/>
        <w:spacing w:after="120" w:line="360" w:lineRule="auto"/>
        <w:ind w:left="714"/>
        <w:contextualSpacing w:val="0"/>
        <w:jc w:val="right"/>
        <w:rPr>
          <w:rFonts w:ascii="Humnst777 BT" w:hAnsi="Humnst777 BT"/>
          <w:i/>
          <w:sz w:val="16"/>
          <w:szCs w:val="16"/>
        </w:rPr>
      </w:pPr>
      <w:r w:rsidRPr="00B70EE6">
        <w:rPr>
          <w:rFonts w:ascii="Humnst777 BT" w:hAnsi="Humnst777 BT"/>
          <w:sz w:val="16"/>
          <w:szCs w:val="16"/>
        </w:rPr>
        <w:t>David Richards – assistant mediator</w:t>
      </w:r>
    </w:p>
    <w:p w14:paraId="25614E61" w14:textId="77777777" w:rsidR="00D053D0" w:rsidRPr="00B70EE6" w:rsidRDefault="00D053D0" w:rsidP="00D053D0">
      <w:pPr>
        <w:pStyle w:val="ListParagraph"/>
        <w:numPr>
          <w:ilvl w:val="0"/>
          <w:numId w:val="4"/>
        </w:numPr>
        <w:spacing w:after="120" w:line="360" w:lineRule="auto"/>
        <w:ind w:left="714" w:hanging="357"/>
        <w:contextualSpacing w:val="0"/>
        <w:rPr>
          <w:rFonts w:ascii="Humnst777 BT" w:hAnsi="Humnst777 BT"/>
          <w:sz w:val="20"/>
          <w:szCs w:val="20"/>
        </w:rPr>
      </w:pPr>
      <w:r w:rsidRPr="0080052C">
        <w:rPr>
          <w:rFonts w:ascii="Humnst777 BT" w:hAnsi="Humnst777 BT"/>
          <w:i/>
          <w:sz w:val="20"/>
          <w:szCs w:val="20"/>
        </w:rPr>
        <w:t>“Stephen remained in command of the situation and was very calm and reasoned throughout in the face of some quite provocative behaviour. He made interventions at key moments and successfully steered the process to a positive outcome</w:t>
      </w:r>
      <w:r>
        <w:rPr>
          <w:rFonts w:ascii="Humnst777 BT" w:hAnsi="Humnst777 BT"/>
          <w:i/>
          <w:sz w:val="20"/>
          <w:szCs w:val="20"/>
        </w:rPr>
        <w:t>.</w:t>
      </w:r>
      <w:r w:rsidRPr="0080052C">
        <w:rPr>
          <w:rFonts w:ascii="Humnst777 BT" w:hAnsi="Humnst777 BT"/>
          <w:i/>
          <w:sz w:val="20"/>
          <w:szCs w:val="20"/>
        </w:rPr>
        <w:t xml:space="preserve">”  </w:t>
      </w:r>
    </w:p>
    <w:p w14:paraId="21089AF3" w14:textId="77777777" w:rsidR="00D053D0" w:rsidRPr="00B70EE6" w:rsidRDefault="00D053D0" w:rsidP="00D053D0">
      <w:pPr>
        <w:pStyle w:val="ListParagraph"/>
        <w:spacing w:after="120" w:line="360" w:lineRule="auto"/>
        <w:ind w:left="714"/>
        <w:contextualSpacing w:val="0"/>
        <w:jc w:val="right"/>
        <w:rPr>
          <w:rFonts w:ascii="Humnst777 BT" w:hAnsi="Humnst777 BT"/>
          <w:sz w:val="16"/>
          <w:szCs w:val="16"/>
        </w:rPr>
      </w:pPr>
      <w:r w:rsidRPr="00B70EE6">
        <w:rPr>
          <w:rFonts w:ascii="Humnst777 BT" w:hAnsi="Humnst777 BT"/>
          <w:sz w:val="16"/>
          <w:szCs w:val="16"/>
        </w:rPr>
        <w:t>Craig Brookes – assistant mediator</w:t>
      </w:r>
    </w:p>
    <w:p w14:paraId="622D1DF3" w14:textId="77777777" w:rsidR="00D053D0" w:rsidRPr="00B70EE6" w:rsidRDefault="00D053D0" w:rsidP="00D053D0">
      <w:pPr>
        <w:pStyle w:val="ListParagraph"/>
        <w:numPr>
          <w:ilvl w:val="0"/>
          <w:numId w:val="4"/>
        </w:numPr>
        <w:spacing w:after="120" w:line="360" w:lineRule="auto"/>
        <w:ind w:left="714" w:hanging="357"/>
        <w:contextualSpacing w:val="0"/>
        <w:rPr>
          <w:rFonts w:ascii="Humnst777 BT" w:hAnsi="Humnst777 BT"/>
          <w:sz w:val="20"/>
          <w:szCs w:val="20"/>
        </w:rPr>
      </w:pPr>
      <w:r w:rsidRPr="0080052C">
        <w:rPr>
          <w:rFonts w:ascii="Humnst777 BT" w:hAnsi="Humnst777 BT"/>
          <w:i/>
          <w:sz w:val="20"/>
          <w:szCs w:val="20"/>
        </w:rPr>
        <w:t>“Stephen was meticulous, paid attention to detail and was calm and measured</w:t>
      </w:r>
      <w:r>
        <w:rPr>
          <w:rFonts w:ascii="Humnst777 BT" w:hAnsi="Humnst777 BT"/>
          <w:i/>
          <w:sz w:val="20"/>
          <w:szCs w:val="20"/>
        </w:rPr>
        <w:t>.</w:t>
      </w:r>
      <w:r w:rsidRPr="0080052C">
        <w:rPr>
          <w:rFonts w:ascii="Humnst777 BT" w:hAnsi="Humnst777 BT"/>
          <w:i/>
          <w:sz w:val="20"/>
          <w:szCs w:val="20"/>
        </w:rPr>
        <w:t xml:space="preserve">” </w:t>
      </w:r>
    </w:p>
    <w:p w14:paraId="56F5CAA7" w14:textId="1E12E926" w:rsidR="00D053D0" w:rsidRPr="00D053D0" w:rsidRDefault="00D053D0" w:rsidP="00D053D0">
      <w:pPr>
        <w:pStyle w:val="ListParagraph"/>
        <w:spacing w:after="120" w:line="360" w:lineRule="auto"/>
        <w:ind w:left="714"/>
        <w:contextualSpacing w:val="0"/>
        <w:jc w:val="right"/>
        <w:rPr>
          <w:rFonts w:ascii="Humnst777 BT" w:hAnsi="Humnst777 BT"/>
          <w:sz w:val="16"/>
          <w:szCs w:val="16"/>
        </w:rPr>
      </w:pPr>
      <w:r w:rsidRPr="00B70EE6">
        <w:rPr>
          <w:rFonts w:ascii="Humnst777 BT" w:hAnsi="Humnst777 BT"/>
          <w:sz w:val="16"/>
          <w:szCs w:val="16"/>
        </w:rPr>
        <w:t>Mary Davies – assistant mediator</w:t>
      </w:r>
    </w:p>
    <w:p w14:paraId="2E6C4103" w14:textId="77777777" w:rsidR="00D053D0" w:rsidRPr="0080052C" w:rsidRDefault="00D053D0" w:rsidP="00D053D0">
      <w:pPr>
        <w:spacing w:after="120" w:line="360" w:lineRule="auto"/>
        <w:rPr>
          <w:rFonts w:ascii="Humnst777 BT" w:eastAsia="Calibri" w:hAnsi="Humnst777 BT" w:cs="Arial"/>
          <w:b/>
          <w:color w:val="0070C0"/>
          <w:sz w:val="20"/>
          <w:szCs w:val="20"/>
        </w:rPr>
      </w:pPr>
      <w:r w:rsidRPr="0080052C">
        <w:rPr>
          <w:rFonts w:ascii="Humnst777 BT" w:hAnsi="Humnst777 BT"/>
          <w:b/>
          <w:bCs/>
          <w:iCs/>
          <w:color w:val="0070C0"/>
          <w:sz w:val="20"/>
          <w:szCs w:val="20"/>
        </w:rPr>
        <w:t>Professional Skills</w:t>
      </w:r>
    </w:p>
    <w:p w14:paraId="0A06C97D" w14:textId="77777777" w:rsidR="00D053D0" w:rsidRPr="0080052C" w:rsidRDefault="00D053D0" w:rsidP="00D053D0">
      <w:pPr>
        <w:pStyle w:val="BodyText"/>
        <w:spacing w:after="120" w:line="360" w:lineRule="auto"/>
        <w:ind w:left="720" w:hanging="720"/>
        <w:rPr>
          <w:rFonts w:ascii="Humnst777 BT" w:hAnsi="Humnst777 BT"/>
          <w:szCs w:val="20"/>
        </w:rPr>
      </w:pPr>
      <w:r w:rsidRPr="0080052C">
        <w:rPr>
          <w:rFonts w:ascii="Humnst777 BT" w:hAnsi="Humnst777 BT"/>
          <w:szCs w:val="20"/>
        </w:rPr>
        <w:t xml:space="preserve">1976:  </w:t>
      </w:r>
      <w:r>
        <w:rPr>
          <w:rFonts w:ascii="Humnst777 BT" w:hAnsi="Humnst777 BT"/>
          <w:szCs w:val="20"/>
        </w:rPr>
        <w:tab/>
      </w:r>
      <w:r w:rsidRPr="0080052C">
        <w:rPr>
          <w:rFonts w:ascii="Humnst777 BT" w:hAnsi="Humnst777 BT"/>
          <w:szCs w:val="20"/>
        </w:rPr>
        <w:t>University of Surrey, B.Sc. (Hons) in Linguistic and International Studies, comprising Russian, Swedish and law</w:t>
      </w:r>
    </w:p>
    <w:p w14:paraId="416C7922" w14:textId="77777777" w:rsidR="00D053D0" w:rsidRPr="0080052C" w:rsidRDefault="00D053D0" w:rsidP="00D053D0">
      <w:pPr>
        <w:pStyle w:val="BodyText"/>
        <w:spacing w:after="120" w:line="360" w:lineRule="auto"/>
        <w:rPr>
          <w:rFonts w:ascii="Humnst777 BT" w:hAnsi="Humnst777 BT"/>
          <w:szCs w:val="20"/>
        </w:rPr>
      </w:pPr>
      <w:r w:rsidRPr="0080052C">
        <w:rPr>
          <w:rFonts w:ascii="Humnst777 BT" w:hAnsi="Humnst777 BT"/>
          <w:szCs w:val="20"/>
        </w:rPr>
        <w:t xml:space="preserve">1977:  </w:t>
      </w:r>
      <w:r>
        <w:rPr>
          <w:rFonts w:ascii="Humnst777 BT" w:hAnsi="Humnst777 BT"/>
          <w:szCs w:val="20"/>
        </w:rPr>
        <w:tab/>
      </w:r>
      <w:r w:rsidRPr="0080052C">
        <w:rPr>
          <w:rFonts w:ascii="Humnst777 BT" w:hAnsi="Humnst777 BT"/>
          <w:szCs w:val="20"/>
        </w:rPr>
        <w:t>Inns of Court School of Law, Barrister</w:t>
      </w:r>
    </w:p>
    <w:p w14:paraId="796FD415" w14:textId="77777777" w:rsidR="00D053D0" w:rsidRDefault="00D053D0" w:rsidP="00D053D0">
      <w:pPr>
        <w:pStyle w:val="BodyText"/>
        <w:spacing w:after="120" w:line="360" w:lineRule="auto"/>
        <w:rPr>
          <w:rFonts w:ascii="Humnst777 BT" w:hAnsi="Humnst777 BT"/>
          <w:szCs w:val="20"/>
        </w:rPr>
      </w:pPr>
      <w:r w:rsidRPr="0080052C">
        <w:rPr>
          <w:rFonts w:ascii="Humnst777 BT" w:hAnsi="Humnst777 BT"/>
          <w:szCs w:val="20"/>
        </w:rPr>
        <w:t xml:space="preserve">2001:  </w:t>
      </w:r>
      <w:r>
        <w:rPr>
          <w:rFonts w:ascii="Humnst777 BT" w:hAnsi="Humnst777 BT"/>
          <w:szCs w:val="20"/>
        </w:rPr>
        <w:tab/>
      </w:r>
      <w:r w:rsidRPr="0080052C">
        <w:rPr>
          <w:rFonts w:ascii="Humnst777 BT" w:hAnsi="Humnst777 BT"/>
          <w:szCs w:val="20"/>
        </w:rPr>
        <w:t>King’s College, London, Postgraduate Certificate in Sports Law</w:t>
      </w:r>
    </w:p>
    <w:p w14:paraId="52281573" w14:textId="77777777" w:rsidR="00D053D0" w:rsidRDefault="00D053D0" w:rsidP="00D053D0">
      <w:pPr>
        <w:pStyle w:val="BodyText"/>
        <w:spacing w:after="120" w:line="360" w:lineRule="auto"/>
        <w:rPr>
          <w:rFonts w:ascii="Humnst777 BT" w:hAnsi="Humnst777 BT"/>
          <w:szCs w:val="20"/>
        </w:rPr>
      </w:pPr>
      <w:r>
        <w:rPr>
          <w:rFonts w:ascii="Humnst777 BT" w:hAnsi="Humnst777 BT"/>
          <w:szCs w:val="20"/>
        </w:rPr>
        <w:t xml:space="preserve">2010:     College of Law, graduated 3-year Association of Contentious Trusts and Probate Specialists course. </w:t>
      </w:r>
    </w:p>
    <w:p w14:paraId="66CBC54D" w14:textId="6CD1FAD9" w:rsidR="00D053D0" w:rsidRPr="0080052C" w:rsidRDefault="00D053D0" w:rsidP="00D053D0">
      <w:pPr>
        <w:pStyle w:val="BodyText"/>
        <w:spacing w:after="120" w:line="360" w:lineRule="auto"/>
        <w:rPr>
          <w:rFonts w:ascii="Humnst777 BT" w:hAnsi="Humnst777 BT"/>
          <w:szCs w:val="20"/>
        </w:rPr>
      </w:pPr>
      <w:r>
        <w:rPr>
          <w:rFonts w:ascii="Humnst777 BT" w:hAnsi="Humnst777 BT"/>
          <w:szCs w:val="20"/>
        </w:rPr>
        <w:t>2017:     Diploma in International Commercial Arbitration and became a Fellow of the CIArb.</w:t>
      </w:r>
    </w:p>
    <w:p w14:paraId="297A970B" w14:textId="77777777" w:rsidR="0095081A" w:rsidRDefault="0095081A" w:rsidP="00D053D0">
      <w:pPr>
        <w:spacing w:after="120" w:line="360" w:lineRule="auto"/>
        <w:ind w:right="45"/>
        <w:jc w:val="both"/>
        <w:rPr>
          <w:rFonts w:ascii="Humnst777 BT" w:hAnsi="Humnst777 BT"/>
          <w:b/>
          <w:color w:val="0070C0"/>
          <w:sz w:val="20"/>
          <w:szCs w:val="20"/>
        </w:rPr>
      </w:pPr>
    </w:p>
    <w:p w14:paraId="325D03B9" w14:textId="0A8EF5DB" w:rsidR="00D053D0" w:rsidRPr="0080052C" w:rsidRDefault="00D053D0" w:rsidP="00D053D0">
      <w:pPr>
        <w:spacing w:after="120" w:line="360" w:lineRule="auto"/>
        <w:ind w:right="45"/>
        <w:jc w:val="both"/>
        <w:rPr>
          <w:rFonts w:ascii="Humnst777 BT" w:hAnsi="Humnst777 BT"/>
          <w:color w:val="0070C0"/>
          <w:sz w:val="20"/>
          <w:szCs w:val="20"/>
          <w:u w:val="single"/>
        </w:rPr>
      </w:pPr>
      <w:r w:rsidRPr="0080052C">
        <w:rPr>
          <w:rFonts w:ascii="Humnst777 BT" w:hAnsi="Humnst777 BT"/>
          <w:b/>
          <w:color w:val="0070C0"/>
          <w:sz w:val="20"/>
          <w:szCs w:val="20"/>
        </w:rPr>
        <w:t>Publications</w:t>
      </w:r>
      <w:r>
        <w:rPr>
          <w:rFonts w:ascii="Humnst777 BT" w:hAnsi="Humnst777 BT"/>
          <w:b/>
          <w:color w:val="0070C0"/>
          <w:sz w:val="20"/>
          <w:szCs w:val="20"/>
        </w:rPr>
        <w:t xml:space="preserve"> &amp; Seminars</w:t>
      </w:r>
    </w:p>
    <w:p w14:paraId="3564A780" w14:textId="2980DC10" w:rsidR="00D053D0" w:rsidRDefault="00D053D0" w:rsidP="00D053D0">
      <w:pPr>
        <w:pStyle w:val="BodyText"/>
        <w:spacing w:after="120" w:line="360" w:lineRule="auto"/>
        <w:rPr>
          <w:rFonts w:ascii="Humnst777 BT" w:hAnsi="Humnst777 BT"/>
          <w:szCs w:val="20"/>
        </w:rPr>
      </w:pPr>
      <w:r w:rsidRPr="0080052C">
        <w:rPr>
          <w:rFonts w:ascii="Humnst777 BT" w:hAnsi="Humnst777 BT"/>
          <w:szCs w:val="20"/>
        </w:rPr>
        <w:t xml:space="preserve">Stephen </w:t>
      </w:r>
      <w:r w:rsidR="00DE6FD4">
        <w:rPr>
          <w:rFonts w:ascii="Humnst777 BT" w:hAnsi="Humnst777 BT"/>
          <w:szCs w:val="20"/>
        </w:rPr>
        <w:t>has co-written</w:t>
      </w:r>
      <w:r w:rsidRPr="0080052C">
        <w:rPr>
          <w:rFonts w:ascii="Humnst777 BT" w:hAnsi="Humnst777 BT"/>
          <w:szCs w:val="20"/>
        </w:rPr>
        <w:t xml:space="preserve"> the chapter on </w:t>
      </w:r>
      <w:r w:rsidR="00DE6FD4">
        <w:rPr>
          <w:rFonts w:ascii="Humnst777 BT" w:hAnsi="Humnst777 BT"/>
          <w:szCs w:val="20"/>
        </w:rPr>
        <w:t>i</w:t>
      </w:r>
      <w:r w:rsidRPr="0080052C">
        <w:rPr>
          <w:rFonts w:ascii="Humnst777 BT" w:hAnsi="Humnst777 BT"/>
          <w:szCs w:val="20"/>
        </w:rPr>
        <w:t xml:space="preserve">mage </w:t>
      </w:r>
      <w:r w:rsidR="00DE6FD4">
        <w:rPr>
          <w:rFonts w:ascii="Humnst777 BT" w:hAnsi="Humnst777 BT"/>
          <w:szCs w:val="20"/>
        </w:rPr>
        <w:t>r</w:t>
      </w:r>
      <w:r w:rsidRPr="0080052C">
        <w:rPr>
          <w:rFonts w:ascii="Humnst777 BT" w:hAnsi="Humnst777 BT"/>
          <w:szCs w:val="20"/>
        </w:rPr>
        <w:t xml:space="preserve">ights in </w:t>
      </w:r>
      <w:r w:rsidR="00DE6FD4">
        <w:rPr>
          <w:rFonts w:ascii="Humnst777 BT" w:hAnsi="Humnst777 BT"/>
          <w:szCs w:val="20"/>
        </w:rPr>
        <w:t xml:space="preserve">all four editions of </w:t>
      </w:r>
      <w:r w:rsidRPr="0080052C">
        <w:rPr>
          <w:rFonts w:ascii="Humnst777 BT" w:hAnsi="Humnst777 BT"/>
          <w:szCs w:val="20"/>
        </w:rPr>
        <w:t xml:space="preserve">Sport: Law and Practice, edited by Lewis and Taylor, </w:t>
      </w:r>
      <w:r>
        <w:rPr>
          <w:rFonts w:ascii="Humnst777 BT" w:hAnsi="Humnst777 BT"/>
          <w:szCs w:val="20"/>
        </w:rPr>
        <w:t xml:space="preserve">contributed to the Property volume of the Encyclopaedia of Forms and Precedents </w:t>
      </w:r>
      <w:r w:rsidRPr="0080052C">
        <w:rPr>
          <w:rFonts w:ascii="Humnst777 BT" w:hAnsi="Humnst777 BT"/>
          <w:szCs w:val="20"/>
        </w:rPr>
        <w:t xml:space="preserve">and has written several articles for legal periodicals. </w:t>
      </w:r>
    </w:p>
    <w:p w14:paraId="0902DC04" w14:textId="56870F26" w:rsidR="00D053D0" w:rsidRPr="00D053D0" w:rsidRDefault="00D053D0" w:rsidP="00D053D0">
      <w:pPr>
        <w:pStyle w:val="BodyText"/>
        <w:spacing w:after="120" w:line="360" w:lineRule="auto"/>
        <w:rPr>
          <w:rFonts w:ascii="Humnst777 BT" w:hAnsi="Humnst777 BT"/>
          <w:szCs w:val="20"/>
        </w:rPr>
      </w:pPr>
      <w:r>
        <w:rPr>
          <w:rFonts w:ascii="Humnst777 BT" w:hAnsi="Humnst777 BT"/>
          <w:szCs w:val="20"/>
        </w:rPr>
        <w:lastRenderedPageBreak/>
        <w:t xml:space="preserve">On 23 </w:t>
      </w:r>
      <w:r w:rsidRPr="00EA6A0B">
        <w:rPr>
          <w:rFonts w:ascii="Humnst777 BT" w:hAnsi="Humnst777 BT"/>
          <w:szCs w:val="20"/>
        </w:rPr>
        <w:t>April</w:t>
      </w:r>
      <w:r>
        <w:rPr>
          <w:rFonts w:ascii="Humnst777 BT" w:hAnsi="Humnst777 BT"/>
          <w:szCs w:val="20"/>
        </w:rPr>
        <w:t xml:space="preserve"> 2016,</w:t>
      </w:r>
      <w:r w:rsidRPr="00EA6A0B">
        <w:rPr>
          <w:rFonts w:ascii="Humnst777 BT" w:hAnsi="Humnst777 BT"/>
          <w:szCs w:val="20"/>
        </w:rPr>
        <w:t xml:space="preserve"> Stephen led a seminar at the Talk Mediation annual conference on </w:t>
      </w:r>
      <w:r>
        <w:rPr>
          <w:rFonts w:ascii="Humnst777 BT" w:hAnsi="Humnst777 BT"/>
          <w:szCs w:val="20"/>
        </w:rPr>
        <w:t>“</w:t>
      </w:r>
      <w:r w:rsidRPr="00EA6A0B">
        <w:rPr>
          <w:rFonts w:ascii="Humnst777 BT" w:hAnsi="Humnst777 BT"/>
          <w:szCs w:val="20"/>
        </w:rPr>
        <w:t>Awareness of cultural differences and their potential impact on mediation</w:t>
      </w:r>
      <w:r>
        <w:rPr>
          <w:rFonts w:ascii="Humnst777 BT" w:hAnsi="Humnst777 BT"/>
          <w:szCs w:val="20"/>
        </w:rPr>
        <w:t>”</w:t>
      </w:r>
      <w:r w:rsidRPr="00EA6A0B">
        <w:rPr>
          <w:rFonts w:ascii="Humnst777 BT" w:hAnsi="Humnst777 BT"/>
          <w:szCs w:val="20"/>
        </w:rPr>
        <w:t>.</w:t>
      </w:r>
    </w:p>
    <w:p w14:paraId="48629F88" w14:textId="77777777" w:rsidR="0095081A" w:rsidRDefault="0095081A" w:rsidP="00D053D0">
      <w:pPr>
        <w:pStyle w:val="BodyText"/>
        <w:spacing w:after="120" w:line="360" w:lineRule="auto"/>
        <w:jc w:val="both"/>
        <w:rPr>
          <w:rFonts w:ascii="Humnst777 BT" w:hAnsi="Humnst777 BT" w:cs="Arial"/>
          <w:b/>
          <w:bCs/>
          <w:color w:val="0070C0"/>
          <w:szCs w:val="20"/>
        </w:rPr>
      </w:pPr>
    </w:p>
    <w:p w14:paraId="34227444" w14:textId="28D32C99" w:rsidR="0095081A" w:rsidRDefault="0095081A" w:rsidP="00D053D0">
      <w:pPr>
        <w:pStyle w:val="BodyText"/>
        <w:spacing w:after="120" w:line="360" w:lineRule="auto"/>
        <w:jc w:val="both"/>
        <w:rPr>
          <w:rFonts w:ascii="Humnst777 BT" w:hAnsi="Humnst777 BT" w:cs="Arial"/>
          <w:b/>
          <w:bCs/>
          <w:color w:val="0070C0"/>
          <w:szCs w:val="20"/>
        </w:rPr>
      </w:pPr>
      <w:r>
        <w:rPr>
          <w:noProof/>
          <w:lang w:eastAsia="en-GB"/>
        </w:rPr>
        <w:drawing>
          <wp:anchor distT="0" distB="0" distL="114300" distR="114300" simplePos="0" relativeHeight="251658240" behindDoc="1" locked="0" layoutInCell="1" allowOverlap="1" wp14:anchorId="2F8958F0" wp14:editId="6A74D6D8">
            <wp:simplePos x="0" y="0"/>
            <wp:positionH relativeFrom="page">
              <wp:align>left</wp:align>
            </wp:positionH>
            <wp:positionV relativeFrom="page">
              <wp:align>bottom</wp:align>
            </wp:positionV>
            <wp:extent cx="7581600" cy="1047600"/>
            <wp:effectExtent l="0" t="0" r="635" b="635"/>
            <wp:wrapThrough wrapText="bothSides">
              <wp:wrapPolygon edited="0">
                <wp:start x="0" y="0"/>
                <wp:lineTo x="0" y="21220"/>
                <wp:lineTo x="21548" y="21220"/>
                <wp:lineTo x="21548" y="0"/>
                <wp:lineTo x="0" y="0"/>
              </wp:wrapPolygon>
            </wp:wrapThrough>
            <wp:docPr id="2" name="Picture 2" descr="C:\Users\ncollier\Desktop\29-01-2020 15-17-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collier\Desktop\29-01-2020 15-17-49.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81600" cy="104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53D0" w:rsidRPr="0080052C">
        <w:rPr>
          <w:rFonts w:ascii="Humnst777 BT" w:hAnsi="Humnst777 BT" w:cs="Arial"/>
          <w:b/>
          <w:bCs/>
          <w:color w:val="0070C0"/>
          <w:szCs w:val="20"/>
        </w:rPr>
        <w:t>Memberships</w:t>
      </w:r>
    </w:p>
    <w:p w14:paraId="086BBFE7" w14:textId="1F6300CD" w:rsidR="00CD0D1F" w:rsidRPr="0095081A" w:rsidRDefault="00D053D0" w:rsidP="00D053D0">
      <w:pPr>
        <w:pStyle w:val="BodyText"/>
        <w:spacing w:after="120" w:line="360" w:lineRule="auto"/>
        <w:jc w:val="both"/>
        <w:rPr>
          <w:rFonts w:ascii="Humnst777 BT" w:hAnsi="Humnst777 BT" w:cs="Arial"/>
          <w:b/>
          <w:bCs/>
          <w:color w:val="0070C0"/>
          <w:szCs w:val="20"/>
        </w:rPr>
      </w:pPr>
      <w:r w:rsidRPr="0080052C">
        <w:rPr>
          <w:rFonts w:ascii="Humnst777 BT" w:hAnsi="Humnst777 BT" w:cs="Arial"/>
          <w:szCs w:val="20"/>
        </w:rPr>
        <w:t>Member of the Chancery Bar</w:t>
      </w:r>
      <w:r>
        <w:rPr>
          <w:rFonts w:ascii="Humnst777 BT" w:hAnsi="Humnst777 BT" w:cs="Arial"/>
          <w:szCs w:val="20"/>
        </w:rPr>
        <w:t xml:space="preserve">, </w:t>
      </w:r>
      <w:r w:rsidRPr="0080052C">
        <w:rPr>
          <w:rFonts w:ascii="Humnst777 BT" w:hAnsi="Humnst777 BT" w:cs="Arial"/>
          <w:szCs w:val="20"/>
        </w:rPr>
        <w:t xml:space="preserve">Property Bar </w:t>
      </w:r>
      <w:r>
        <w:rPr>
          <w:rFonts w:ascii="Humnst777 BT" w:hAnsi="Humnst777 BT" w:cs="Arial"/>
          <w:szCs w:val="20"/>
        </w:rPr>
        <w:t xml:space="preserve">and Commercial Bar </w:t>
      </w:r>
      <w:r w:rsidRPr="0080052C">
        <w:rPr>
          <w:rFonts w:ascii="Humnst777 BT" w:hAnsi="Humnst777 BT" w:cs="Arial"/>
          <w:szCs w:val="20"/>
        </w:rPr>
        <w:t>Associations</w:t>
      </w:r>
    </w:p>
    <w:sectPr w:rsidR="00CD0D1F" w:rsidRPr="0095081A" w:rsidSect="00E84168">
      <w:headerReference w:type="even" r:id="rId13"/>
      <w:headerReference w:type="default" r:id="rId14"/>
      <w:headerReference w:type="first" r:id="rId15"/>
      <w:pgSz w:w="11906" w:h="16838" w:code="9"/>
      <w:pgMar w:top="1701" w:right="851" w:bottom="1418" w:left="851" w:header="5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EDDA4" w14:textId="77777777" w:rsidR="008E205C" w:rsidRDefault="008E205C" w:rsidP="001A6AB8">
      <w:pPr>
        <w:spacing w:after="0" w:line="240" w:lineRule="auto"/>
      </w:pPr>
      <w:r>
        <w:separator/>
      </w:r>
    </w:p>
  </w:endnote>
  <w:endnote w:type="continuationSeparator" w:id="0">
    <w:p w14:paraId="75D891C7" w14:textId="77777777" w:rsidR="008E205C" w:rsidRDefault="008E205C" w:rsidP="001A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BT">
    <w:altName w:val="Calibri"/>
    <w:charset w:val="00"/>
    <w:family w:val="swiss"/>
    <w:pitch w:val="variable"/>
    <w:sig w:usb0="800000AF" w:usb1="1000204A" w:usb2="00000000" w:usb3="00000000" w:csb0="0000001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Montserrat SemiBold">
    <w:altName w:val="Calibri"/>
    <w:charset w:val="00"/>
    <w:family w:val="auto"/>
    <w:pitch w:val="variable"/>
    <w:sig w:usb0="2000020F" w:usb1="00000003" w:usb2="00000000" w:usb3="00000000" w:csb0="00000197" w:csb1="00000000"/>
  </w:font>
  <w:font w:name="Montserrat Medium">
    <w:altName w:val="Courier New"/>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43502" w14:textId="77777777" w:rsidR="008E205C" w:rsidRDefault="008E205C" w:rsidP="001A6AB8">
      <w:pPr>
        <w:spacing w:after="0" w:line="240" w:lineRule="auto"/>
      </w:pPr>
      <w:r>
        <w:separator/>
      </w:r>
    </w:p>
  </w:footnote>
  <w:footnote w:type="continuationSeparator" w:id="0">
    <w:p w14:paraId="7E32BC25" w14:textId="77777777" w:rsidR="008E205C" w:rsidRDefault="008E205C" w:rsidP="001A6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787B" w14:textId="08C9DD05" w:rsidR="001802BC" w:rsidRDefault="00000000">
    <w:pPr>
      <w:pStyle w:val="Header"/>
    </w:pPr>
    <w:r>
      <w:rPr>
        <w:noProof/>
      </w:rPr>
      <w:pict w14:anchorId="4330C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9" o:spid="_x0000_s1029" type="#_x0000_t75" style="position:absolute;margin-left:0;margin-top:0;width:604.65pt;height:298.45pt;z-index:-251655168;mso-position-horizontal:center;mso-position-horizontal-relative:margin;mso-position-vertical:center;mso-position-vertical-relative:margin" o:allowincell="f">
          <v:imagedata r:id="rId1" o:title="CEDR-Logo-gre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7669" w14:textId="3B7502E5" w:rsidR="001A6AB8" w:rsidRDefault="00000000">
    <w:pPr>
      <w:pStyle w:val="Header"/>
    </w:pPr>
    <w:r>
      <w:rPr>
        <w:noProof/>
      </w:rP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1030" type="#_x0000_t75" style="position:absolute;margin-left:0;margin-top:0;width:604.65pt;height:298.45pt;z-index:-251654144;mso-position-horizontal:center;mso-position-horizontal-relative:margin;mso-position-vertical:center;mso-position-vertical-relative:margin" o:allowincell="f">
          <v:imagedata r:id="rId1" o:title="CEDR-Logo-grey"/>
          <w10:wrap anchorx="margin" anchory="margin"/>
        </v:shape>
      </w:pict>
    </w:r>
    <w:r w:rsidR="001A6AB8">
      <w:rPr>
        <w:noProof/>
        <w:lang w:eastAsia="en-GB"/>
      </w:rPr>
      <mc:AlternateContent>
        <mc:Choice Requires="wps">
          <w:drawing>
            <wp:anchor distT="45720" distB="45720" distL="114300" distR="114300" simplePos="0" relativeHeight="251659264" behindDoc="0" locked="0" layoutInCell="1" allowOverlap="1" wp14:anchorId="350CDAD0" wp14:editId="7976099D">
              <wp:simplePos x="0" y="0"/>
              <wp:positionH relativeFrom="page">
                <wp:posOffset>1643380</wp:posOffset>
              </wp:positionH>
              <wp:positionV relativeFrom="paragraph">
                <wp:posOffset>146050</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proofErr w:type="gramStart"/>
                          <w:r w:rsidRPr="001A6AB8">
                            <w:rPr>
                              <w:rFonts w:ascii="Montserrat Medium" w:hAnsi="Montserrat Medium" w:cs="Montserrat Medium"/>
                              <w:color w:val="25509E"/>
                              <w:sz w:val="22"/>
                              <w:szCs w:val="22"/>
                            </w:rPr>
                            <w:t>Better</w:t>
                          </w:r>
                          <w:proofErr w:type="gramEnd"/>
                          <w:r w:rsidRPr="001A6AB8">
                            <w:rPr>
                              <w:rFonts w:ascii="Montserrat Medium" w:hAnsi="Montserrat Medium" w:cs="Montserrat Medium"/>
                              <w:color w:val="25509E"/>
                              <w:sz w:val="22"/>
                              <w:szCs w:val="22"/>
                            </w:rPr>
                            <w:t xml:space="preserve">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0CDAD0" id="_x0000_t202" coordsize="21600,21600" o:spt="202" path="m,l,21600r21600,l21600,xe">
              <v:stroke joinstyle="miter"/>
              <v:path gradientshapeok="t" o:connecttype="rect"/>
            </v:shapetype>
            <v:shape id="Text Box 2" o:spid="_x0000_s1026" type="#_x0000_t202" style="position:absolute;margin-left:129.4pt;margin-top:11.5pt;width:447.65pt;height:33.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" stroked="f">
              <v:textbo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proofErr w:type="gramStart"/>
                    <w:r w:rsidRPr="001A6AB8">
                      <w:rPr>
                        <w:rFonts w:ascii="Montserrat Medium" w:hAnsi="Montserrat Medium" w:cs="Montserrat Medium"/>
                        <w:color w:val="25509E"/>
                        <w:sz w:val="22"/>
                        <w:szCs w:val="22"/>
                      </w:rPr>
                      <w:t>Better</w:t>
                    </w:r>
                    <w:proofErr w:type="gramEnd"/>
                    <w:r w:rsidRPr="001A6AB8">
                      <w:rPr>
                        <w:rFonts w:ascii="Montserrat Medium" w:hAnsi="Montserrat Medium" w:cs="Montserrat Medium"/>
                        <w:color w:val="25509E"/>
                        <w:sz w:val="22"/>
                        <w:szCs w:val="22"/>
                      </w:rPr>
                      <w:t xml:space="preserve">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v:textbox>
              <w10:wrap type="square" anchorx="page"/>
            </v:shape>
          </w:pict>
        </mc:Fallback>
      </mc:AlternateContent>
    </w:r>
    <w:r w:rsidR="001A6AB8">
      <w:rPr>
        <w:noProof/>
        <w:lang w:eastAsia="en-GB"/>
      </w:rPr>
      <w:drawing>
        <wp:inline distT="0" distB="0" distL="0" distR="0" wp14:anchorId="3FBCEA14" wp14:editId="3744925D">
          <wp:extent cx="862314" cy="529099"/>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78" cy="575095"/>
                  </a:xfrm>
                  <a:prstGeom prst="rect">
                    <a:avLst/>
                  </a:prstGeom>
                  <a:noFill/>
                  <a:ln>
                    <a:noFill/>
                  </a:ln>
                </pic:spPr>
              </pic:pic>
            </a:graphicData>
          </a:graphic>
        </wp:inline>
      </w:drawing>
    </w:r>
  </w:p>
  <w:p w14:paraId="12FCDB5E" w14:textId="6AF7EC42" w:rsidR="00D73DC8" w:rsidRDefault="00D73DC8">
    <w:pPr>
      <w:pStyle w:val="Header"/>
    </w:pPr>
  </w:p>
  <w:p w14:paraId="442F8A99" w14:textId="77777777" w:rsidR="00D73DC8" w:rsidRDefault="00D73D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00D55" w14:textId="456CF957" w:rsidR="001802BC" w:rsidRDefault="00000000">
    <w:pPr>
      <w:pStyle w:val="Header"/>
    </w:pPr>
    <w:r>
      <w:rPr>
        <w:noProof/>
      </w:rPr>
      <w:pict w14:anchorId="00A65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8" o:spid="_x0000_s1028" type="#_x0000_t75" style="position:absolute;margin-left:0;margin-top:0;width:604.65pt;height:298.45pt;z-index:-251656192;mso-position-horizontal:center;mso-position-horizontal-relative:margin;mso-position-vertical:center;mso-position-vertical-relative:margin" o:allowincell="f">
          <v:imagedata r:id="rId1" o:title="CEDR-Logo-gre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50F30"/>
    <w:multiLevelType w:val="hybridMultilevel"/>
    <w:tmpl w:val="CB284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B4A"/>
    <w:multiLevelType w:val="hybridMultilevel"/>
    <w:tmpl w:val="ACB2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F82D26"/>
    <w:multiLevelType w:val="hybridMultilevel"/>
    <w:tmpl w:val="22CAE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8917F3"/>
    <w:multiLevelType w:val="hybridMultilevel"/>
    <w:tmpl w:val="ED06A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AB3150"/>
    <w:multiLevelType w:val="hybridMultilevel"/>
    <w:tmpl w:val="2188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6D4A5F"/>
    <w:multiLevelType w:val="hybridMultilevel"/>
    <w:tmpl w:val="57967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5B46FF"/>
    <w:multiLevelType w:val="hybridMultilevel"/>
    <w:tmpl w:val="F29CE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B863E3"/>
    <w:multiLevelType w:val="hybridMultilevel"/>
    <w:tmpl w:val="1E3AE5CE"/>
    <w:lvl w:ilvl="0" w:tplc="35C2CFF2">
      <w:numFmt w:val="bullet"/>
      <w:lvlText w:val="-"/>
      <w:lvlJc w:val="left"/>
      <w:pPr>
        <w:ind w:left="720" w:hanging="360"/>
      </w:pPr>
      <w:rPr>
        <w:rFonts w:ascii="Humnst777 BT" w:eastAsia="Times New Roman" w:hAnsi="Humnst777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CD05E1"/>
    <w:multiLevelType w:val="hybridMultilevel"/>
    <w:tmpl w:val="6C52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2871920">
    <w:abstractNumId w:val="5"/>
  </w:num>
  <w:num w:numId="2" w16cid:durableId="1317029016">
    <w:abstractNumId w:val="2"/>
  </w:num>
  <w:num w:numId="3" w16cid:durableId="195969178">
    <w:abstractNumId w:val="6"/>
  </w:num>
  <w:num w:numId="4" w16cid:durableId="214247029">
    <w:abstractNumId w:val="3"/>
  </w:num>
  <w:num w:numId="5" w16cid:durableId="1876118975">
    <w:abstractNumId w:val="1"/>
  </w:num>
  <w:num w:numId="6" w16cid:durableId="422992607">
    <w:abstractNumId w:val="0"/>
  </w:num>
  <w:num w:numId="7" w16cid:durableId="138350595">
    <w:abstractNumId w:val="4"/>
  </w:num>
  <w:num w:numId="8" w16cid:durableId="1880586093">
    <w:abstractNumId w:val="7"/>
  </w:num>
  <w:num w:numId="9" w16cid:durableId="13264700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B8"/>
    <w:rsid w:val="0001479E"/>
    <w:rsid w:val="00016730"/>
    <w:rsid w:val="0002365D"/>
    <w:rsid w:val="00024FA5"/>
    <w:rsid w:val="0005108F"/>
    <w:rsid w:val="00056EA6"/>
    <w:rsid w:val="000A229D"/>
    <w:rsid w:val="000E4A3F"/>
    <w:rsid w:val="000F129B"/>
    <w:rsid w:val="00104D90"/>
    <w:rsid w:val="00142FFA"/>
    <w:rsid w:val="00160C45"/>
    <w:rsid w:val="001802BC"/>
    <w:rsid w:val="001A6AB8"/>
    <w:rsid w:val="001D1267"/>
    <w:rsid w:val="001D48EE"/>
    <w:rsid w:val="002009EF"/>
    <w:rsid w:val="002012E7"/>
    <w:rsid w:val="002375B3"/>
    <w:rsid w:val="0024308E"/>
    <w:rsid w:val="002F4AF3"/>
    <w:rsid w:val="00307036"/>
    <w:rsid w:val="003440F1"/>
    <w:rsid w:val="0036441D"/>
    <w:rsid w:val="003A5247"/>
    <w:rsid w:val="003F0766"/>
    <w:rsid w:val="004008CF"/>
    <w:rsid w:val="004260E0"/>
    <w:rsid w:val="0042710E"/>
    <w:rsid w:val="0047499E"/>
    <w:rsid w:val="00480203"/>
    <w:rsid w:val="004D5E49"/>
    <w:rsid w:val="004F3C10"/>
    <w:rsid w:val="004F7CDE"/>
    <w:rsid w:val="00506BA7"/>
    <w:rsid w:val="00542F31"/>
    <w:rsid w:val="00597424"/>
    <w:rsid w:val="005A7CF3"/>
    <w:rsid w:val="005E03C1"/>
    <w:rsid w:val="005E335E"/>
    <w:rsid w:val="00611CE6"/>
    <w:rsid w:val="00626819"/>
    <w:rsid w:val="006B2CC7"/>
    <w:rsid w:val="006B3662"/>
    <w:rsid w:val="006C5A7B"/>
    <w:rsid w:val="007529A1"/>
    <w:rsid w:val="0077087D"/>
    <w:rsid w:val="00774C5F"/>
    <w:rsid w:val="007829DE"/>
    <w:rsid w:val="00791B59"/>
    <w:rsid w:val="007F0442"/>
    <w:rsid w:val="0081790E"/>
    <w:rsid w:val="0082182F"/>
    <w:rsid w:val="0084023B"/>
    <w:rsid w:val="0085182C"/>
    <w:rsid w:val="0085761A"/>
    <w:rsid w:val="00867B7E"/>
    <w:rsid w:val="0087269C"/>
    <w:rsid w:val="00877D33"/>
    <w:rsid w:val="00884DDF"/>
    <w:rsid w:val="008A3011"/>
    <w:rsid w:val="008C3414"/>
    <w:rsid w:val="008D154F"/>
    <w:rsid w:val="008E205C"/>
    <w:rsid w:val="00934E6D"/>
    <w:rsid w:val="00947510"/>
    <w:rsid w:val="0095081A"/>
    <w:rsid w:val="0095740D"/>
    <w:rsid w:val="009B4A64"/>
    <w:rsid w:val="00A35950"/>
    <w:rsid w:val="00A404D5"/>
    <w:rsid w:val="00A44517"/>
    <w:rsid w:val="00A52933"/>
    <w:rsid w:val="00A637C0"/>
    <w:rsid w:val="00A76DC4"/>
    <w:rsid w:val="00AE1AE0"/>
    <w:rsid w:val="00B31739"/>
    <w:rsid w:val="00B53E3C"/>
    <w:rsid w:val="00B94B81"/>
    <w:rsid w:val="00B97A7C"/>
    <w:rsid w:val="00BF2C32"/>
    <w:rsid w:val="00C16891"/>
    <w:rsid w:val="00C205C4"/>
    <w:rsid w:val="00C3052E"/>
    <w:rsid w:val="00C50EA5"/>
    <w:rsid w:val="00C5327C"/>
    <w:rsid w:val="00C759FD"/>
    <w:rsid w:val="00CB33F7"/>
    <w:rsid w:val="00CB6D22"/>
    <w:rsid w:val="00CD0D1F"/>
    <w:rsid w:val="00CE3373"/>
    <w:rsid w:val="00D053D0"/>
    <w:rsid w:val="00D1724C"/>
    <w:rsid w:val="00D313D3"/>
    <w:rsid w:val="00D32889"/>
    <w:rsid w:val="00D601D3"/>
    <w:rsid w:val="00D62D15"/>
    <w:rsid w:val="00D662C6"/>
    <w:rsid w:val="00D73DC8"/>
    <w:rsid w:val="00DE6ACE"/>
    <w:rsid w:val="00DE6FD4"/>
    <w:rsid w:val="00E03E4B"/>
    <w:rsid w:val="00E544F6"/>
    <w:rsid w:val="00E84168"/>
    <w:rsid w:val="00EB0F6A"/>
    <w:rsid w:val="00EB3EF0"/>
    <w:rsid w:val="00EC5326"/>
    <w:rsid w:val="00ED343B"/>
    <w:rsid w:val="00ED37AF"/>
    <w:rsid w:val="00EE77D9"/>
    <w:rsid w:val="00FB3D99"/>
    <w:rsid w:val="00FF0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25A02"/>
  <w15:docId w15:val="{DEDAF8CF-EDD5-4BC0-B663-A85BD809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053D0"/>
    <w:pPr>
      <w:keepNext/>
      <w:spacing w:after="0" w:line="280" w:lineRule="exact"/>
      <w:outlineLvl w:val="0"/>
    </w:pPr>
    <w:rPr>
      <w:rFonts w:ascii="Georgia" w:eastAsia="Times New Roman" w:hAnsi="Georgi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1">
    <w:name w:val="Unresolved Mention1"/>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36"/>
    <w:rPr>
      <w:rFonts w:ascii="Tahoma" w:hAnsi="Tahoma" w:cs="Tahoma"/>
      <w:sz w:val="16"/>
      <w:szCs w:val="16"/>
    </w:rPr>
  </w:style>
  <w:style w:type="paragraph" w:styleId="NoSpacing">
    <w:name w:val="No Spacing"/>
    <w:uiPriority w:val="1"/>
    <w:qFormat/>
    <w:rsid w:val="005A7CF3"/>
    <w:pPr>
      <w:spacing w:after="0" w:line="240" w:lineRule="auto"/>
    </w:pPr>
  </w:style>
  <w:style w:type="character" w:customStyle="1" w:styleId="Heading1Char">
    <w:name w:val="Heading 1 Char"/>
    <w:basedOn w:val="DefaultParagraphFont"/>
    <w:link w:val="Heading1"/>
    <w:rsid w:val="00D053D0"/>
    <w:rPr>
      <w:rFonts w:ascii="Georgia" w:eastAsia="Times New Roman" w:hAnsi="Georgia" w:cs="Times New Roman"/>
      <w:b/>
      <w:bCs/>
      <w:sz w:val="24"/>
      <w:szCs w:val="24"/>
    </w:rPr>
  </w:style>
  <w:style w:type="paragraph" w:styleId="BodyText">
    <w:name w:val="Body Text"/>
    <w:basedOn w:val="Normal"/>
    <w:link w:val="BodyTextChar"/>
    <w:semiHidden/>
    <w:rsid w:val="00D053D0"/>
    <w:pPr>
      <w:spacing w:after="0" w:line="280" w:lineRule="exact"/>
    </w:pPr>
    <w:rPr>
      <w:rFonts w:ascii="Georgia" w:eastAsia="Times New Roman" w:hAnsi="Georgia" w:cs="Times New Roman"/>
      <w:sz w:val="20"/>
      <w:szCs w:val="24"/>
    </w:rPr>
  </w:style>
  <w:style w:type="character" w:customStyle="1" w:styleId="BodyTextChar">
    <w:name w:val="Body Text Char"/>
    <w:basedOn w:val="DefaultParagraphFont"/>
    <w:link w:val="BodyText"/>
    <w:semiHidden/>
    <w:rsid w:val="00D053D0"/>
    <w:rPr>
      <w:rFonts w:ascii="Georgia" w:eastAsia="Times New Roman" w:hAnsi="Georgia" w:cs="Times New Roman"/>
      <w:sz w:val="20"/>
      <w:szCs w:val="24"/>
    </w:rPr>
  </w:style>
  <w:style w:type="paragraph" w:styleId="ListParagraph">
    <w:name w:val="List Paragraph"/>
    <w:basedOn w:val="Normal"/>
    <w:uiPriority w:val="34"/>
    <w:qFormat/>
    <w:rsid w:val="00D053D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5352">
      <w:bodyDiv w:val="1"/>
      <w:marLeft w:val="0"/>
      <w:marRight w:val="0"/>
      <w:marTop w:val="0"/>
      <w:marBottom w:val="0"/>
      <w:divBdr>
        <w:top w:val="none" w:sz="0" w:space="0" w:color="auto"/>
        <w:left w:val="none" w:sz="0" w:space="0" w:color="auto"/>
        <w:bottom w:val="none" w:sz="0" w:space="0" w:color="auto"/>
        <w:right w:val="none" w:sz="0" w:space="0" w:color="auto"/>
      </w:divBdr>
      <w:divsChild>
        <w:div w:id="1782607232">
          <w:marLeft w:val="0"/>
          <w:marRight w:val="0"/>
          <w:marTop w:val="0"/>
          <w:marBottom w:val="0"/>
          <w:divBdr>
            <w:top w:val="none" w:sz="0" w:space="0" w:color="auto"/>
            <w:left w:val="none" w:sz="0" w:space="0" w:color="auto"/>
            <w:bottom w:val="none" w:sz="0" w:space="0" w:color="auto"/>
            <w:right w:val="none" w:sz="0" w:space="0" w:color="auto"/>
          </w:divBdr>
        </w:div>
        <w:div w:id="1934164471">
          <w:marLeft w:val="0"/>
          <w:marRight w:val="0"/>
          <w:marTop w:val="0"/>
          <w:marBottom w:val="0"/>
          <w:divBdr>
            <w:top w:val="none" w:sz="0" w:space="0" w:color="auto"/>
            <w:left w:val="none" w:sz="0" w:space="0" w:color="auto"/>
            <w:bottom w:val="none" w:sz="0" w:space="0" w:color="auto"/>
            <w:right w:val="none" w:sz="0" w:space="0" w:color="auto"/>
          </w:divBdr>
        </w:div>
        <w:div w:id="1797915405">
          <w:marLeft w:val="0"/>
          <w:marRight w:val="0"/>
          <w:marTop w:val="0"/>
          <w:marBottom w:val="0"/>
          <w:divBdr>
            <w:top w:val="none" w:sz="0" w:space="0" w:color="auto"/>
            <w:left w:val="none" w:sz="0" w:space="0" w:color="auto"/>
            <w:bottom w:val="none" w:sz="0" w:space="0" w:color="auto"/>
            <w:right w:val="none" w:sz="0" w:space="0" w:color="auto"/>
          </w:divBdr>
        </w:div>
        <w:div w:id="275330812">
          <w:marLeft w:val="0"/>
          <w:marRight w:val="0"/>
          <w:marTop w:val="0"/>
          <w:marBottom w:val="0"/>
          <w:divBdr>
            <w:top w:val="none" w:sz="0" w:space="0" w:color="auto"/>
            <w:left w:val="none" w:sz="0" w:space="0" w:color="auto"/>
            <w:bottom w:val="none" w:sz="0" w:space="0" w:color="auto"/>
            <w:right w:val="none" w:sz="0" w:space="0" w:color="auto"/>
          </w:divBdr>
        </w:div>
      </w:divsChild>
    </w:div>
    <w:div w:id="523983918">
      <w:bodyDiv w:val="1"/>
      <w:marLeft w:val="0"/>
      <w:marRight w:val="0"/>
      <w:marTop w:val="0"/>
      <w:marBottom w:val="0"/>
      <w:divBdr>
        <w:top w:val="none" w:sz="0" w:space="0" w:color="auto"/>
        <w:left w:val="none" w:sz="0" w:space="0" w:color="auto"/>
        <w:bottom w:val="none" w:sz="0" w:space="0" w:color="auto"/>
        <w:right w:val="none" w:sz="0" w:space="0" w:color="auto"/>
      </w:divBdr>
      <w:divsChild>
        <w:div w:id="1630895001">
          <w:marLeft w:val="0"/>
          <w:marRight w:val="0"/>
          <w:marTop w:val="0"/>
          <w:marBottom w:val="0"/>
          <w:divBdr>
            <w:top w:val="none" w:sz="0" w:space="0" w:color="auto"/>
            <w:left w:val="none" w:sz="0" w:space="0" w:color="auto"/>
            <w:bottom w:val="none" w:sz="0" w:space="0" w:color="auto"/>
            <w:right w:val="none" w:sz="0" w:space="0" w:color="auto"/>
          </w:divBdr>
        </w:div>
        <w:div w:id="1023048922">
          <w:marLeft w:val="0"/>
          <w:marRight w:val="0"/>
          <w:marTop w:val="0"/>
          <w:marBottom w:val="0"/>
          <w:divBdr>
            <w:top w:val="none" w:sz="0" w:space="0" w:color="auto"/>
            <w:left w:val="none" w:sz="0" w:space="0" w:color="auto"/>
            <w:bottom w:val="none" w:sz="0" w:space="0" w:color="auto"/>
            <w:right w:val="none" w:sz="0" w:space="0" w:color="auto"/>
          </w:divBdr>
        </w:div>
        <w:div w:id="1899589668">
          <w:marLeft w:val="0"/>
          <w:marRight w:val="0"/>
          <w:marTop w:val="0"/>
          <w:marBottom w:val="0"/>
          <w:divBdr>
            <w:top w:val="none" w:sz="0" w:space="0" w:color="auto"/>
            <w:left w:val="none" w:sz="0" w:space="0" w:color="auto"/>
            <w:bottom w:val="none" w:sz="0" w:space="0" w:color="auto"/>
            <w:right w:val="none" w:sz="0" w:space="0" w:color="auto"/>
          </w:divBdr>
        </w:div>
        <w:div w:id="1182820874">
          <w:marLeft w:val="0"/>
          <w:marRight w:val="0"/>
          <w:marTop w:val="0"/>
          <w:marBottom w:val="0"/>
          <w:divBdr>
            <w:top w:val="none" w:sz="0" w:space="0" w:color="auto"/>
            <w:left w:val="none" w:sz="0" w:space="0" w:color="auto"/>
            <w:bottom w:val="none" w:sz="0" w:space="0" w:color="auto"/>
            <w:right w:val="none" w:sz="0" w:space="0" w:color="auto"/>
          </w:divBdr>
        </w:div>
      </w:divsChild>
    </w:div>
    <w:div w:id="991758654">
      <w:bodyDiv w:val="1"/>
      <w:marLeft w:val="0"/>
      <w:marRight w:val="0"/>
      <w:marTop w:val="0"/>
      <w:marBottom w:val="0"/>
      <w:divBdr>
        <w:top w:val="none" w:sz="0" w:space="0" w:color="auto"/>
        <w:left w:val="none" w:sz="0" w:space="0" w:color="auto"/>
        <w:bottom w:val="none" w:sz="0" w:space="0" w:color="auto"/>
        <w:right w:val="none" w:sz="0" w:space="0" w:color="auto"/>
      </w:divBdr>
      <w:divsChild>
        <w:div w:id="952982905">
          <w:marLeft w:val="0"/>
          <w:marRight w:val="0"/>
          <w:marTop w:val="0"/>
          <w:marBottom w:val="0"/>
          <w:divBdr>
            <w:top w:val="none" w:sz="0" w:space="0" w:color="auto"/>
            <w:left w:val="none" w:sz="0" w:space="0" w:color="auto"/>
            <w:bottom w:val="none" w:sz="0" w:space="0" w:color="auto"/>
            <w:right w:val="none" w:sz="0" w:space="0" w:color="auto"/>
          </w:divBdr>
        </w:div>
        <w:div w:id="446241935">
          <w:marLeft w:val="0"/>
          <w:marRight w:val="0"/>
          <w:marTop w:val="0"/>
          <w:marBottom w:val="0"/>
          <w:divBdr>
            <w:top w:val="none" w:sz="0" w:space="0" w:color="auto"/>
            <w:left w:val="none" w:sz="0" w:space="0" w:color="auto"/>
            <w:bottom w:val="none" w:sz="0" w:space="0" w:color="auto"/>
            <w:right w:val="none" w:sz="0" w:space="0" w:color="auto"/>
          </w:divBdr>
        </w:div>
        <w:div w:id="561135519">
          <w:marLeft w:val="0"/>
          <w:marRight w:val="0"/>
          <w:marTop w:val="0"/>
          <w:marBottom w:val="0"/>
          <w:divBdr>
            <w:top w:val="none" w:sz="0" w:space="0" w:color="auto"/>
            <w:left w:val="none" w:sz="0" w:space="0" w:color="auto"/>
            <w:bottom w:val="none" w:sz="0" w:space="0" w:color="auto"/>
            <w:right w:val="none" w:sz="0" w:space="0" w:color="auto"/>
          </w:divBdr>
        </w:div>
        <w:div w:id="1374845248">
          <w:marLeft w:val="0"/>
          <w:marRight w:val="0"/>
          <w:marTop w:val="0"/>
          <w:marBottom w:val="0"/>
          <w:divBdr>
            <w:top w:val="none" w:sz="0" w:space="0" w:color="auto"/>
            <w:left w:val="none" w:sz="0" w:space="0" w:color="auto"/>
            <w:bottom w:val="none" w:sz="0" w:space="0" w:color="auto"/>
            <w:right w:val="none" w:sz="0" w:space="0" w:color="auto"/>
          </w:divBdr>
        </w:div>
      </w:divsChild>
    </w:div>
    <w:div w:id="1162769122">
      <w:bodyDiv w:val="1"/>
      <w:marLeft w:val="0"/>
      <w:marRight w:val="0"/>
      <w:marTop w:val="0"/>
      <w:marBottom w:val="0"/>
      <w:divBdr>
        <w:top w:val="none" w:sz="0" w:space="0" w:color="auto"/>
        <w:left w:val="none" w:sz="0" w:space="0" w:color="auto"/>
        <w:bottom w:val="none" w:sz="0" w:space="0" w:color="auto"/>
        <w:right w:val="none" w:sz="0" w:space="0" w:color="auto"/>
      </w:divBdr>
      <w:divsChild>
        <w:div w:id="870651297">
          <w:marLeft w:val="0"/>
          <w:marRight w:val="0"/>
          <w:marTop w:val="0"/>
          <w:marBottom w:val="0"/>
          <w:divBdr>
            <w:top w:val="none" w:sz="0" w:space="0" w:color="auto"/>
            <w:left w:val="none" w:sz="0" w:space="0" w:color="auto"/>
            <w:bottom w:val="none" w:sz="0" w:space="0" w:color="auto"/>
            <w:right w:val="none" w:sz="0" w:space="0" w:color="auto"/>
          </w:divBdr>
        </w:div>
        <w:div w:id="1589190351">
          <w:marLeft w:val="0"/>
          <w:marRight w:val="0"/>
          <w:marTop w:val="0"/>
          <w:marBottom w:val="0"/>
          <w:divBdr>
            <w:top w:val="none" w:sz="0" w:space="0" w:color="auto"/>
            <w:left w:val="none" w:sz="0" w:space="0" w:color="auto"/>
            <w:bottom w:val="none" w:sz="0" w:space="0" w:color="auto"/>
            <w:right w:val="none" w:sz="0" w:space="0" w:color="auto"/>
          </w:divBdr>
        </w:div>
        <w:div w:id="2018726461">
          <w:marLeft w:val="0"/>
          <w:marRight w:val="0"/>
          <w:marTop w:val="0"/>
          <w:marBottom w:val="0"/>
          <w:divBdr>
            <w:top w:val="none" w:sz="0" w:space="0" w:color="auto"/>
            <w:left w:val="none" w:sz="0" w:space="0" w:color="auto"/>
            <w:bottom w:val="none" w:sz="0" w:space="0" w:color="auto"/>
            <w:right w:val="none" w:sz="0" w:space="0" w:color="auto"/>
          </w:divBdr>
        </w:div>
        <w:div w:id="103043400">
          <w:marLeft w:val="0"/>
          <w:marRight w:val="0"/>
          <w:marTop w:val="0"/>
          <w:marBottom w:val="0"/>
          <w:divBdr>
            <w:top w:val="none" w:sz="0" w:space="0" w:color="auto"/>
            <w:left w:val="none" w:sz="0" w:space="0" w:color="auto"/>
            <w:bottom w:val="none" w:sz="0" w:space="0" w:color="auto"/>
            <w:right w:val="none" w:sz="0" w:space="0" w:color="auto"/>
          </w:divBdr>
        </w:div>
      </w:divsChild>
    </w:div>
    <w:div w:id="1591817220">
      <w:bodyDiv w:val="1"/>
      <w:marLeft w:val="0"/>
      <w:marRight w:val="0"/>
      <w:marTop w:val="0"/>
      <w:marBottom w:val="0"/>
      <w:divBdr>
        <w:top w:val="none" w:sz="0" w:space="0" w:color="auto"/>
        <w:left w:val="none" w:sz="0" w:space="0" w:color="auto"/>
        <w:bottom w:val="none" w:sz="0" w:space="0" w:color="auto"/>
        <w:right w:val="none" w:sz="0" w:space="0" w:color="auto"/>
      </w:divBdr>
      <w:divsChild>
        <w:div w:id="1341542058">
          <w:marLeft w:val="0"/>
          <w:marRight w:val="0"/>
          <w:marTop w:val="0"/>
          <w:marBottom w:val="0"/>
          <w:divBdr>
            <w:top w:val="none" w:sz="0" w:space="0" w:color="auto"/>
            <w:left w:val="none" w:sz="0" w:space="0" w:color="auto"/>
            <w:bottom w:val="none" w:sz="0" w:space="0" w:color="auto"/>
            <w:right w:val="none" w:sz="0" w:space="0" w:color="auto"/>
          </w:divBdr>
        </w:div>
        <w:div w:id="1851527432">
          <w:marLeft w:val="0"/>
          <w:marRight w:val="0"/>
          <w:marTop w:val="0"/>
          <w:marBottom w:val="0"/>
          <w:divBdr>
            <w:top w:val="none" w:sz="0" w:space="0" w:color="auto"/>
            <w:left w:val="none" w:sz="0" w:space="0" w:color="auto"/>
            <w:bottom w:val="none" w:sz="0" w:space="0" w:color="auto"/>
            <w:right w:val="none" w:sz="0" w:space="0" w:color="auto"/>
          </w:divBdr>
        </w:div>
        <w:div w:id="2048984899">
          <w:marLeft w:val="0"/>
          <w:marRight w:val="0"/>
          <w:marTop w:val="0"/>
          <w:marBottom w:val="0"/>
          <w:divBdr>
            <w:top w:val="none" w:sz="0" w:space="0" w:color="auto"/>
            <w:left w:val="none" w:sz="0" w:space="0" w:color="auto"/>
            <w:bottom w:val="none" w:sz="0" w:space="0" w:color="auto"/>
            <w:right w:val="none" w:sz="0" w:space="0" w:color="auto"/>
          </w:divBdr>
        </w:div>
        <w:div w:id="306204737">
          <w:marLeft w:val="0"/>
          <w:marRight w:val="0"/>
          <w:marTop w:val="0"/>
          <w:marBottom w:val="0"/>
          <w:divBdr>
            <w:top w:val="none" w:sz="0" w:space="0" w:color="auto"/>
            <w:left w:val="none" w:sz="0" w:space="0" w:color="auto"/>
            <w:bottom w:val="none" w:sz="0" w:space="0" w:color="auto"/>
            <w:right w:val="none" w:sz="0" w:space="0" w:color="auto"/>
          </w:divBdr>
        </w:div>
      </w:divsChild>
    </w:div>
    <w:div w:id="1934044111">
      <w:bodyDiv w:val="1"/>
      <w:marLeft w:val="0"/>
      <w:marRight w:val="0"/>
      <w:marTop w:val="0"/>
      <w:marBottom w:val="0"/>
      <w:divBdr>
        <w:top w:val="none" w:sz="0" w:space="0" w:color="auto"/>
        <w:left w:val="none" w:sz="0" w:space="0" w:color="auto"/>
        <w:bottom w:val="none" w:sz="0" w:space="0" w:color="auto"/>
        <w:right w:val="none" w:sz="0" w:space="0" w:color="auto"/>
      </w:divBdr>
      <w:divsChild>
        <w:div w:id="1410349212">
          <w:marLeft w:val="432"/>
          <w:marRight w:val="216"/>
          <w:marTop w:val="0"/>
          <w:marBottom w:val="0"/>
          <w:divBdr>
            <w:top w:val="none" w:sz="0" w:space="0" w:color="auto"/>
            <w:left w:val="none" w:sz="0" w:space="0" w:color="auto"/>
            <w:bottom w:val="none" w:sz="0" w:space="0" w:color="auto"/>
            <w:right w:val="none" w:sz="0" w:space="0" w:color="auto"/>
          </w:divBdr>
        </w:div>
        <w:div w:id="1552229292">
          <w:marLeft w:val="216"/>
          <w:marRight w:val="432"/>
          <w:marTop w:val="0"/>
          <w:marBottom w:val="0"/>
          <w:divBdr>
            <w:top w:val="none" w:sz="0" w:space="0" w:color="auto"/>
            <w:left w:val="none" w:sz="0" w:space="0" w:color="auto"/>
            <w:bottom w:val="none" w:sz="0" w:space="0" w:color="auto"/>
            <w:right w:val="none" w:sz="0" w:space="0" w:color="auto"/>
          </w:divBdr>
        </w:div>
        <w:div w:id="66152004">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gif"/></Relationships>
</file>

<file path=word/_rels/header3.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8278566926C34BB0C132EE9BDF6F32" ma:contentTypeVersion="12" ma:contentTypeDescription="Create a new document." ma:contentTypeScope="" ma:versionID="fccec70fb9b7e62e13bdaff2658a24cb">
  <xsd:schema xmlns:xsd="http://www.w3.org/2001/XMLSchema" xmlns:xs="http://www.w3.org/2001/XMLSchema" xmlns:p="http://schemas.microsoft.com/office/2006/metadata/properties" xmlns:ns2="3bbb9330-ebfe-40c7-93bd-11ff205213b6" xmlns:ns3="1edb2e3b-e544-4abd-89c2-f34b16f9d81e" targetNamespace="http://schemas.microsoft.com/office/2006/metadata/properties" ma:root="true" ma:fieldsID="6e0b484a588223d416f27c071a3018c2" ns2:_="" ns3:_="">
    <xsd:import namespace="3bbb9330-ebfe-40c7-93bd-11ff205213b6"/>
    <xsd:import namespace="1edb2e3b-e544-4abd-89c2-f34b16f9d8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b9330-ebfe-40c7-93bd-11ff20521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db2e3b-e544-4abd-89c2-f34b16f9d8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377BB8-900A-48BD-BE48-DB81A7D4E9D4}">
  <ds:schemaRefs>
    <ds:schemaRef ds:uri="http://schemas.openxmlformats.org/officeDocument/2006/bibliography"/>
  </ds:schemaRefs>
</ds:datastoreItem>
</file>

<file path=customXml/itemProps2.xml><?xml version="1.0" encoding="utf-8"?>
<ds:datastoreItem xmlns:ds="http://schemas.openxmlformats.org/officeDocument/2006/customXml" ds:itemID="{C637B227-B4B4-4405-A8CB-D8CCCB9E6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b9330-ebfe-40c7-93bd-11ff205213b6"/>
    <ds:schemaRef ds:uri="1edb2e3b-e544-4abd-89c2-f34b16f9d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755748-0AAC-4197-851C-C406315BF1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75CF61-D232-437A-9029-F9E344A2FD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3039</Words>
  <Characters>17328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Anish Mistry</dc:creator>
  <cp:lastModifiedBy>Will Staveley</cp:lastModifiedBy>
  <cp:revision>2</cp:revision>
  <dcterms:created xsi:type="dcterms:W3CDTF">2023-07-18T16:12:00Z</dcterms:created>
  <dcterms:modified xsi:type="dcterms:W3CDTF">2023-07-18T16:12:00Z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0x010100DF8278566926C34BB0C132EE9BDF6F32</vt:lpwstr>
  </property>
  <property fmtid="{D5CDD505-2E9C-101B-9397-08002B2CF9AE}" pid="3" name="Order">
    <vt:r8>10386500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ies>
</file>